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4635B" w14:textId="77777777" w:rsidR="00452922" w:rsidRPr="0025138B" w:rsidRDefault="00452922" w:rsidP="00452922">
      <w:pPr>
        <w:pStyle w:val="Corpsdetexte"/>
        <w:pBdr>
          <w:bottom w:val="single" w:sz="18" w:space="1" w:color="595959" w:themeColor="text1" w:themeTint="A6"/>
        </w:pBdr>
        <w:kinsoku w:val="0"/>
        <w:overflowPunct w:val="0"/>
        <w:ind w:left="0" w:right="87"/>
        <w:jc w:val="center"/>
        <w:rPr>
          <w:rFonts w:ascii="Arial Narrow" w:eastAsia="Arial Unicode MS" w:hAnsi="Arial Narrow" w:cs="Arial Unicode MS"/>
          <w:caps/>
          <w:color w:val="595959" w:themeColor="text1" w:themeTint="A6"/>
          <w:sz w:val="36"/>
          <w:szCs w:val="36"/>
        </w:rPr>
      </w:pPr>
      <w:r w:rsidRPr="0025138B">
        <w:rPr>
          <w:rFonts w:ascii="Arial Narrow" w:eastAsia="Arial Unicode MS" w:hAnsi="Arial Narrow" w:cs="Arial Unicode MS"/>
          <w:caps/>
          <w:color w:val="595959" w:themeColor="text1" w:themeTint="A6"/>
          <w:sz w:val="36"/>
          <w:szCs w:val="36"/>
          <w:lang w:val="fr-BE"/>
        </w:rPr>
        <w:t>Convention de copropri</w:t>
      </w:r>
      <w:r w:rsidRPr="0025138B">
        <w:rPr>
          <w:rFonts w:ascii="Arial Narrow" w:eastAsia="Arial Unicode MS" w:hAnsi="Arial Narrow" w:cs="Arial Unicode MS"/>
          <w:caps/>
          <w:color w:val="595959" w:themeColor="text1" w:themeTint="A6"/>
          <w:sz w:val="36"/>
          <w:szCs w:val="36"/>
        </w:rPr>
        <w:t>ETE</w:t>
      </w:r>
    </w:p>
    <w:p w14:paraId="7D347864" w14:textId="77777777" w:rsidR="00452922" w:rsidRPr="0025138B" w:rsidRDefault="00452922" w:rsidP="00452922">
      <w:pPr>
        <w:pStyle w:val="Corpsdetexte"/>
        <w:kinsoku w:val="0"/>
        <w:overflowPunct w:val="0"/>
        <w:ind w:left="0" w:right="87"/>
        <w:jc w:val="center"/>
        <w:rPr>
          <w:color w:val="595959" w:themeColor="text1" w:themeTint="A6"/>
          <w:sz w:val="24"/>
          <w:szCs w:val="24"/>
          <w:lang w:val="fr-BE"/>
        </w:rPr>
      </w:pPr>
    </w:p>
    <w:p w14:paraId="60FB8877" w14:textId="442BE2FD" w:rsidR="00452922"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lang w:val="fr-BE"/>
        </w:rPr>
      </w:pPr>
    </w:p>
    <w:p w14:paraId="62AFCE2A" w14:textId="6C78F56A" w:rsidR="00452922" w:rsidRPr="00452922" w:rsidRDefault="00452922" w:rsidP="00452922">
      <w:pPr>
        <w:pStyle w:val="Corpsdetexte"/>
        <w:kinsoku w:val="0"/>
        <w:overflowPunct w:val="0"/>
        <w:ind w:left="0" w:right="87"/>
        <w:jc w:val="both"/>
        <w:rPr>
          <w:rFonts w:ascii="Arial Narrow" w:eastAsia="Arial Unicode MS" w:hAnsi="Arial Narrow" w:cs="Arial Unicode MS"/>
          <w:i/>
          <w:iCs/>
          <w:color w:val="0070C0"/>
          <w:sz w:val="24"/>
          <w:szCs w:val="24"/>
          <w:lang w:val="fr-BE"/>
        </w:rPr>
      </w:pPr>
      <w:r w:rsidRPr="00452922">
        <w:rPr>
          <w:rFonts w:ascii="Arial Narrow" w:eastAsia="Arial Unicode MS" w:hAnsi="Arial Narrow" w:cs="Arial Unicode MS"/>
          <w:i/>
          <w:iCs/>
          <w:color w:val="0070C0"/>
          <w:sz w:val="24"/>
          <w:szCs w:val="24"/>
          <w:lang w:val="fr-BE"/>
        </w:rPr>
        <w:t>Très souvent, des personnes acquièrent un bien en commun (une maison, une vieille voiture, un machine à laver, etc.) sans se soucier des conditions dans lesquelles s’exerceront et finiront leurs droits et obligations de copropriétaires. Typiquement, lors de l’achat en commun d’un bien immobilier, lorsque je leur demande « avez-vous signé un contrat de copropriété ? », elles me répondent « Oui, oui ! Voici l’acte qu’on a passé chez le notaire ». Triste erreur ! Qu’il suffise que je leur demande combien de temps est censé durer la copropriété pour qu’elles réalisent qu’il manque peut-être quelque chose ;-) .</w:t>
      </w:r>
    </w:p>
    <w:p w14:paraId="2503DA8F" w14:textId="1FE47811" w:rsidR="00452922" w:rsidRPr="00452922" w:rsidRDefault="00452922" w:rsidP="00452922">
      <w:pPr>
        <w:pStyle w:val="Corpsdetexte"/>
        <w:kinsoku w:val="0"/>
        <w:overflowPunct w:val="0"/>
        <w:ind w:left="0" w:right="87"/>
        <w:jc w:val="both"/>
        <w:rPr>
          <w:rFonts w:ascii="Arial Narrow" w:eastAsia="Arial Unicode MS" w:hAnsi="Arial Narrow" w:cs="Arial Unicode MS"/>
          <w:i/>
          <w:iCs/>
          <w:color w:val="0070C0"/>
          <w:sz w:val="24"/>
          <w:szCs w:val="24"/>
          <w:lang w:val="fr-BE"/>
        </w:rPr>
      </w:pPr>
    </w:p>
    <w:p w14:paraId="1ADEEF08" w14:textId="219E2EAC" w:rsidR="00452922" w:rsidRPr="00452922" w:rsidRDefault="00452922" w:rsidP="00452922">
      <w:pPr>
        <w:pStyle w:val="Corpsdetexte"/>
        <w:kinsoku w:val="0"/>
        <w:overflowPunct w:val="0"/>
        <w:ind w:left="0" w:right="87"/>
        <w:jc w:val="both"/>
        <w:rPr>
          <w:rFonts w:ascii="Arial Narrow" w:eastAsia="Arial Unicode MS" w:hAnsi="Arial Narrow" w:cs="Arial Unicode MS"/>
          <w:i/>
          <w:iCs/>
          <w:color w:val="0070C0"/>
          <w:sz w:val="24"/>
          <w:szCs w:val="24"/>
          <w:lang w:val="fr-BE"/>
        </w:rPr>
      </w:pPr>
      <w:r w:rsidRPr="00452922">
        <w:rPr>
          <w:rFonts w:ascii="Arial Narrow" w:eastAsia="Arial Unicode MS" w:hAnsi="Arial Narrow" w:cs="Arial Unicode MS"/>
          <w:i/>
          <w:iCs/>
          <w:color w:val="0070C0"/>
          <w:sz w:val="24"/>
          <w:szCs w:val="24"/>
          <w:lang w:val="fr-BE"/>
        </w:rPr>
        <w:t>Le contrat ci-dessous est un exemple des dispositions dont peuvent convenir des personnes qui ont acquis un immeuble en copropriété. Certaines clauses sont assez caractéristique</w:t>
      </w:r>
      <w:r w:rsidR="00C43D88">
        <w:rPr>
          <w:rFonts w:ascii="Arial Narrow" w:eastAsia="Arial Unicode MS" w:hAnsi="Arial Narrow" w:cs="Arial Unicode MS"/>
          <w:i/>
          <w:iCs/>
          <w:color w:val="0070C0"/>
          <w:sz w:val="24"/>
          <w:szCs w:val="24"/>
          <w:lang w:val="fr-BE"/>
        </w:rPr>
        <w:t>s</w:t>
      </w:r>
      <w:r w:rsidRPr="00452922">
        <w:rPr>
          <w:rFonts w:ascii="Arial Narrow" w:eastAsia="Arial Unicode MS" w:hAnsi="Arial Narrow" w:cs="Arial Unicode MS"/>
          <w:i/>
          <w:iCs/>
          <w:color w:val="0070C0"/>
          <w:sz w:val="24"/>
          <w:szCs w:val="24"/>
          <w:lang w:val="fr-BE"/>
        </w:rPr>
        <w:t xml:space="preserve"> du cas d’espèce ; j’aurais pu les effacer, mais j’ai choisi de les maintenir pour vous donner des idées, pour vous inspirer. Rappelez-vous toutefois que, tout est cas d’espèce.</w:t>
      </w:r>
    </w:p>
    <w:p w14:paraId="1283658B" w14:textId="55DB43EA" w:rsidR="00452922" w:rsidRPr="00452922" w:rsidRDefault="00452922" w:rsidP="00452922">
      <w:pPr>
        <w:pStyle w:val="Corpsdetexte"/>
        <w:kinsoku w:val="0"/>
        <w:overflowPunct w:val="0"/>
        <w:ind w:left="0" w:right="87"/>
        <w:jc w:val="both"/>
        <w:rPr>
          <w:rFonts w:ascii="Arial Narrow" w:eastAsia="Arial Unicode MS" w:hAnsi="Arial Narrow" w:cs="Arial Unicode MS"/>
          <w:i/>
          <w:iCs/>
          <w:color w:val="0070C0"/>
          <w:sz w:val="24"/>
          <w:szCs w:val="24"/>
          <w:lang w:val="fr-BE"/>
        </w:rPr>
      </w:pPr>
    </w:p>
    <w:p w14:paraId="57C93E40" w14:textId="78FF337F" w:rsidR="00452922" w:rsidRPr="00452922" w:rsidRDefault="00452922" w:rsidP="00452922">
      <w:pPr>
        <w:pStyle w:val="Corpsdetexte"/>
        <w:kinsoku w:val="0"/>
        <w:overflowPunct w:val="0"/>
        <w:ind w:left="0" w:right="87"/>
        <w:jc w:val="both"/>
        <w:rPr>
          <w:rFonts w:ascii="Arial Narrow" w:eastAsia="Arial Unicode MS" w:hAnsi="Arial Narrow" w:cs="Arial Unicode MS"/>
          <w:i/>
          <w:iCs/>
          <w:color w:val="0070C0"/>
          <w:sz w:val="24"/>
          <w:szCs w:val="24"/>
          <w:lang w:val="fr-BE"/>
        </w:rPr>
      </w:pPr>
      <w:r w:rsidRPr="00452922">
        <w:rPr>
          <w:rFonts w:ascii="Arial Narrow" w:eastAsia="Arial Unicode MS" w:hAnsi="Arial Narrow" w:cs="Arial Unicode MS"/>
          <w:i/>
          <w:iCs/>
          <w:color w:val="0070C0"/>
          <w:sz w:val="24"/>
          <w:szCs w:val="24"/>
          <w:lang w:val="fr-BE"/>
        </w:rPr>
        <w:t>Me Thierry Corbeel</w:t>
      </w:r>
    </w:p>
    <w:p w14:paraId="71678F90" w14:textId="0DF1B4E5" w:rsidR="00452922" w:rsidRPr="00452922" w:rsidRDefault="00452922" w:rsidP="00452922">
      <w:pPr>
        <w:pStyle w:val="Corpsdetexte"/>
        <w:kinsoku w:val="0"/>
        <w:overflowPunct w:val="0"/>
        <w:ind w:left="0" w:right="87"/>
        <w:jc w:val="both"/>
        <w:rPr>
          <w:rFonts w:ascii="Arial Narrow" w:eastAsia="Arial Unicode MS" w:hAnsi="Arial Narrow" w:cs="Arial Unicode MS"/>
          <w:i/>
          <w:iCs/>
          <w:color w:val="0070C0"/>
          <w:sz w:val="24"/>
          <w:szCs w:val="24"/>
          <w:lang w:val="fr-BE"/>
        </w:rPr>
      </w:pPr>
      <w:proofErr w:type="spellStart"/>
      <w:r w:rsidRPr="00452922">
        <w:rPr>
          <w:rFonts w:ascii="Arial Narrow" w:eastAsia="Arial Unicode MS" w:hAnsi="Arial Narrow" w:cs="Arial Unicode MS"/>
          <w:i/>
          <w:iCs/>
          <w:color w:val="0070C0"/>
          <w:sz w:val="24"/>
          <w:szCs w:val="24"/>
          <w:lang w:val="fr-BE"/>
        </w:rPr>
        <w:t>thierry.corbeel@solutio.law</w:t>
      </w:r>
      <w:proofErr w:type="spellEnd"/>
    </w:p>
    <w:p w14:paraId="41AA5F5E"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lang w:val="fr-BE"/>
        </w:rPr>
      </w:pPr>
    </w:p>
    <w:p w14:paraId="2CAF2C0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739BB00"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CC7C564" w14:textId="77777777" w:rsidR="00452922"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ENTRE</w:t>
      </w:r>
      <w:r>
        <w:rPr>
          <w:rFonts w:ascii="Arial Narrow" w:eastAsia="Arial Unicode MS" w:hAnsi="Arial Narrow" w:cs="Arial Unicode MS"/>
          <w:b/>
          <w:color w:val="595959" w:themeColor="text1" w:themeTint="A6"/>
          <w:sz w:val="24"/>
          <w:szCs w:val="24"/>
        </w:rPr>
        <w:t xml:space="preserve"> </w:t>
      </w:r>
      <w:r w:rsidRPr="00250967">
        <w:rPr>
          <w:rFonts w:ascii="Arial Narrow" w:eastAsia="Arial Unicode MS" w:hAnsi="Arial Narrow" w:cs="Arial Unicode MS"/>
          <w:b/>
          <w:color w:val="595959" w:themeColor="text1" w:themeTint="A6"/>
          <w:sz w:val="24"/>
          <w:szCs w:val="24"/>
        </w:rPr>
        <w:t xml:space="preserve">: </w:t>
      </w:r>
      <w:r>
        <w:rPr>
          <w:rFonts w:ascii="Arial Narrow" w:eastAsia="Arial Unicode MS" w:hAnsi="Arial Narrow" w:cs="Arial Unicode MS"/>
          <w:b/>
          <w:color w:val="595959" w:themeColor="text1" w:themeTint="A6"/>
          <w:sz w:val="24"/>
          <w:szCs w:val="24"/>
        </w:rPr>
        <w:tab/>
      </w:r>
      <w:r>
        <w:rPr>
          <w:rFonts w:ascii="Arial Narrow" w:eastAsia="Arial Unicode MS" w:hAnsi="Arial Narrow" w:cs="Arial Unicode MS"/>
          <w:b/>
          <w:bCs/>
          <w:color w:val="595959" w:themeColor="text1" w:themeTint="A6"/>
          <w:sz w:val="24"/>
          <w:szCs w:val="24"/>
        </w:rPr>
        <w:t>Nicolas</w:t>
      </w:r>
      <w:r w:rsidRPr="00250967">
        <w:rPr>
          <w:rFonts w:ascii="Arial Narrow" w:eastAsia="Arial Unicode MS" w:hAnsi="Arial Narrow" w:cs="Arial Unicode MS"/>
          <w:color w:val="595959" w:themeColor="text1" w:themeTint="A6"/>
          <w:sz w:val="24"/>
          <w:szCs w:val="24"/>
        </w:rPr>
        <w:t xml:space="preserve"> </w:t>
      </w:r>
    </w:p>
    <w:p w14:paraId="76EC77B9" w14:textId="77777777" w:rsidR="00452922" w:rsidRPr="00250967"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b/>
          <w:color w:val="595959" w:themeColor="text1" w:themeTint="A6"/>
          <w:sz w:val="24"/>
          <w:szCs w:val="24"/>
        </w:rPr>
      </w:pPr>
      <w:r>
        <w:rPr>
          <w:rFonts w:ascii="Arial Narrow" w:eastAsia="Arial Unicode MS" w:hAnsi="Arial Narrow" w:cs="Arial Unicode MS"/>
          <w:color w:val="595959" w:themeColor="text1" w:themeTint="A6"/>
          <w:sz w:val="24"/>
          <w:szCs w:val="24"/>
        </w:rPr>
        <w:tab/>
      </w:r>
      <w:r w:rsidRPr="00250967">
        <w:rPr>
          <w:rFonts w:ascii="Arial Narrow" w:eastAsia="Arial Unicode MS" w:hAnsi="Arial Narrow" w:cs="Arial Unicode MS"/>
          <w:color w:val="595959" w:themeColor="text1" w:themeTint="A6"/>
          <w:sz w:val="24"/>
          <w:szCs w:val="24"/>
        </w:rPr>
        <w:t xml:space="preserve">domicilié </w:t>
      </w:r>
      <w:r>
        <w:rPr>
          <w:rFonts w:ascii="Arial Narrow" w:eastAsia="Arial Unicode MS" w:hAnsi="Arial Narrow" w:cs="Arial Unicode MS"/>
          <w:color w:val="595959" w:themeColor="text1" w:themeTint="A6"/>
          <w:sz w:val="24"/>
          <w:szCs w:val="24"/>
        </w:rPr>
        <w:t xml:space="preserve">à ______________ </w:t>
      </w:r>
      <w:r w:rsidRPr="00250967">
        <w:rPr>
          <w:rFonts w:ascii="Arial Narrow" w:eastAsia="Arial Unicode MS" w:hAnsi="Arial Narrow" w:cs="Arial Unicode MS"/>
          <w:color w:val="595959" w:themeColor="text1" w:themeTint="A6"/>
          <w:sz w:val="24"/>
          <w:szCs w:val="24"/>
        </w:rPr>
        <w:t>;</w:t>
      </w:r>
    </w:p>
    <w:p w14:paraId="68B9F1B6" w14:textId="77777777" w:rsidR="00452922"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p>
    <w:p w14:paraId="407AB68C" w14:textId="77777777" w:rsidR="00452922"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p>
    <w:p w14:paraId="3EB9F41F" w14:textId="77777777" w:rsidR="00452922" w:rsidRPr="00250967"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p>
    <w:p w14:paraId="7ED72C3D" w14:textId="77777777" w:rsidR="00452922"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 xml:space="preserve">ET : </w:t>
      </w:r>
      <w:r>
        <w:rPr>
          <w:rFonts w:ascii="Arial Narrow" w:eastAsia="Arial Unicode MS" w:hAnsi="Arial Narrow" w:cs="Arial Unicode MS"/>
          <w:b/>
          <w:color w:val="595959" w:themeColor="text1" w:themeTint="A6"/>
          <w:sz w:val="24"/>
          <w:szCs w:val="24"/>
        </w:rPr>
        <w:tab/>
      </w:r>
      <w:r>
        <w:rPr>
          <w:rFonts w:ascii="Arial Narrow" w:eastAsia="Arial Unicode MS" w:hAnsi="Arial Narrow" w:cs="Arial Unicode MS"/>
          <w:b/>
          <w:bCs/>
          <w:color w:val="595959" w:themeColor="text1" w:themeTint="A6"/>
          <w:sz w:val="24"/>
          <w:szCs w:val="24"/>
        </w:rPr>
        <w:t xml:space="preserve">Sabine </w:t>
      </w:r>
      <w:r w:rsidRPr="00250967">
        <w:rPr>
          <w:rFonts w:ascii="Arial Narrow" w:eastAsia="Arial Unicode MS" w:hAnsi="Arial Narrow" w:cs="Arial Unicode MS"/>
          <w:color w:val="595959" w:themeColor="text1" w:themeTint="A6"/>
          <w:sz w:val="24"/>
          <w:szCs w:val="24"/>
        </w:rPr>
        <w:t xml:space="preserve"> </w:t>
      </w:r>
    </w:p>
    <w:p w14:paraId="1FC91E57" w14:textId="77777777" w:rsidR="00452922" w:rsidRPr="00250967"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b/>
          <w:color w:val="595959" w:themeColor="text1" w:themeTint="A6"/>
          <w:sz w:val="24"/>
          <w:szCs w:val="24"/>
        </w:rPr>
      </w:pPr>
      <w:r>
        <w:rPr>
          <w:rFonts w:ascii="Arial Narrow" w:eastAsia="Arial Unicode MS" w:hAnsi="Arial Narrow" w:cs="Arial Unicode MS"/>
          <w:b/>
          <w:color w:val="595959" w:themeColor="text1" w:themeTint="A6"/>
          <w:sz w:val="24"/>
          <w:szCs w:val="24"/>
        </w:rPr>
        <w:tab/>
      </w:r>
      <w:r w:rsidRPr="00250967">
        <w:rPr>
          <w:rFonts w:ascii="Arial Narrow" w:eastAsia="Arial Unicode MS" w:hAnsi="Arial Narrow" w:cs="Arial Unicode MS"/>
          <w:color w:val="595959" w:themeColor="text1" w:themeTint="A6"/>
          <w:sz w:val="24"/>
          <w:szCs w:val="24"/>
        </w:rPr>
        <w:t xml:space="preserve">domiciliée </w:t>
      </w:r>
      <w:r>
        <w:rPr>
          <w:rFonts w:ascii="Arial Narrow" w:eastAsia="Arial Unicode MS" w:hAnsi="Arial Narrow" w:cs="Arial Unicode MS"/>
          <w:color w:val="595959" w:themeColor="text1" w:themeTint="A6"/>
          <w:sz w:val="24"/>
          <w:szCs w:val="24"/>
        </w:rPr>
        <w:t>à ________________ ;</w:t>
      </w:r>
    </w:p>
    <w:p w14:paraId="019DC4F4" w14:textId="77777777" w:rsidR="00452922" w:rsidRPr="00250967"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p>
    <w:p w14:paraId="1C9973D9" w14:textId="77777777" w:rsidR="00452922" w:rsidRPr="00250967" w:rsidRDefault="00452922" w:rsidP="00452922">
      <w:pPr>
        <w:pStyle w:val="Corpsdetexte"/>
        <w:tabs>
          <w:tab w:val="left" w:pos="1134"/>
        </w:tabs>
        <w:kinsoku w:val="0"/>
        <w:overflowPunct w:val="0"/>
        <w:ind w:left="1134" w:right="87" w:hanging="1134"/>
        <w:jc w:val="both"/>
        <w:rPr>
          <w:rFonts w:ascii="Arial Narrow" w:eastAsia="Arial Unicode MS" w:hAnsi="Arial Narrow" w:cs="Arial Unicode MS"/>
          <w:color w:val="595959" w:themeColor="text1" w:themeTint="A6"/>
          <w:sz w:val="24"/>
          <w:szCs w:val="24"/>
        </w:rPr>
      </w:pPr>
    </w:p>
    <w:p w14:paraId="45FE0FF1" w14:textId="77777777" w:rsidR="00452922" w:rsidRPr="00250967" w:rsidRDefault="00452922" w:rsidP="00452922">
      <w:pPr>
        <w:pStyle w:val="Corpsdetexte"/>
        <w:tabs>
          <w:tab w:val="left" w:pos="1134"/>
        </w:tabs>
        <w:kinsoku w:val="0"/>
        <w:overflowPunct w:val="0"/>
        <w:ind w:left="1134" w:right="87" w:hanging="1134"/>
        <w:rPr>
          <w:rFonts w:ascii="Arial Narrow" w:eastAsia="Arial Unicode MS" w:hAnsi="Arial Narrow" w:cs="Arial Unicode MS"/>
          <w:i/>
          <w:color w:val="595959" w:themeColor="text1" w:themeTint="A6"/>
          <w:sz w:val="24"/>
          <w:szCs w:val="24"/>
        </w:rPr>
      </w:pPr>
      <w:r w:rsidRPr="00250967">
        <w:rPr>
          <w:rFonts w:ascii="Arial Narrow" w:eastAsia="Arial Unicode MS" w:hAnsi="Arial Narrow" w:cs="Arial Unicode MS"/>
          <w:i/>
          <w:color w:val="595959" w:themeColor="text1" w:themeTint="A6"/>
          <w:sz w:val="24"/>
          <w:szCs w:val="24"/>
        </w:rPr>
        <w:t xml:space="preserve">Ci-après dénommées individuellement « une Partie » ou conjointement « les Parties » </w:t>
      </w:r>
    </w:p>
    <w:p w14:paraId="3EB67A2A" w14:textId="77777777" w:rsidR="00452922" w:rsidRPr="00250967" w:rsidRDefault="00452922" w:rsidP="00452922">
      <w:pPr>
        <w:pStyle w:val="Corpsdetexte"/>
        <w:kinsoku w:val="0"/>
        <w:overflowPunct w:val="0"/>
        <w:ind w:left="1134" w:right="87" w:hanging="1134"/>
        <w:jc w:val="both"/>
        <w:rPr>
          <w:rFonts w:ascii="Arial Narrow" w:eastAsia="Arial Unicode MS" w:hAnsi="Arial Narrow" w:cs="Arial Unicode MS"/>
          <w:color w:val="595959" w:themeColor="text1" w:themeTint="A6"/>
          <w:sz w:val="24"/>
          <w:szCs w:val="24"/>
        </w:rPr>
      </w:pPr>
    </w:p>
    <w:p w14:paraId="797964BC"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11A8B70"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2642D5E"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b/>
          <w:caps/>
          <w:color w:val="595959" w:themeColor="text1" w:themeTint="A6"/>
          <w:sz w:val="24"/>
          <w:szCs w:val="24"/>
        </w:rPr>
      </w:pPr>
      <w:r w:rsidRPr="00250967">
        <w:rPr>
          <w:rFonts w:ascii="Arial Narrow" w:eastAsia="Arial Unicode MS" w:hAnsi="Arial Narrow" w:cs="Arial Unicode MS"/>
          <w:b/>
          <w:caps/>
          <w:color w:val="595959" w:themeColor="text1" w:themeTint="A6"/>
          <w:sz w:val="24"/>
          <w:szCs w:val="24"/>
        </w:rPr>
        <w:t>Il est prÉalablement exposÉ ce qui suit :</w:t>
      </w:r>
    </w:p>
    <w:p w14:paraId="482D3548"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961E599"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BB1DB47" w14:textId="2C50E158"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Le </w:t>
      </w:r>
      <w:r>
        <w:rPr>
          <w:rFonts w:ascii="Arial Narrow" w:eastAsia="Arial Unicode MS" w:hAnsi="Arial Narrow" w:cs="Arial Unicode MS"/>
          <w:color w:val="595959" w:themeColor="text1" w:themeTint="A6"/>
          <w:sz w:val="24"/>
          <w:szCs w:val="24"/>
        </w:rPr>
        <w:t>1</w:t>
      </w:r>
      <w:r w:rsidRPr="00452922">
        <w:rPr>
          <w:rFonts w:ascii="Arial Narrow" w:eastAsia="Arial Unicode MS" w:hAnsi="Arial Narrow" w:cs="Arial Unicode MS"/>
          <w:color w:val="595959" w:themeColor="text1" w:themeTint="A6"/>
          <w:sz w:val="24"/>
          <w:szCs w:val="24"/>
          <w:vertAlign w:val="superscript"/>
        </w:rPr>
        <w:t>er</w:t>
      </w:r>
      <w:r>
        <w:rPr>
          <w:rFonts w:ascii="Arial Narrow" w:eastAsia="Arial Unicode MS" w:hAnsi="Arial Narrow" w:cs="Arial Unicode MS"/>
          <w:color w:val="595959" w:themeColor="text1" w:themeTint="A6"/>
          <w:sz w:val="24"/>
          <w:szCs w:val="24"/>
        </w:rPr>
        <w:t xml:space="preserve"> décembre</w:t>
      </w:r>
      <w:r w:rsidRPr="00250967">
        <w:rPr>
          <w:rFonts w:ascii="Arial Narrow" w:eastAsia="Arial Unicode MS" w:hAnsi="Arial Narrow" w:cs="Arial Unicode MS"/>
          <w:color w:val="595959" w:themeColor="text1" w:themeTint="A6"/>
          <w:sz w:val="24"/>
          <w:szCs w:val="24"/>
        </w:rPr>
        <w:t xml:space="preserve"> 2020, les Parties ont acquis, en copropriété, chacune pour moitié, un bien immobilier sis </w:t>
      </w:r>
      <w:r>
        <w:rPr>
          <w:rFonts w:ascii="Arial Narrow" w:eastAsia="Arial Unicode MS" w:hAnsi="Arial Narrow" w:cs="Arial Unicode MS"/>
          <w:color w:val="595959" w:themeColor="text1" w:themeTint="A6"/>
          <w:sz w:val="24"/>
          <w:szCs w:val="24"/>
        </w:rPr>
        <w:t xml:space="preserve">à </w:t>
      </w:r>
      <w:r>
        <w:rPr>
          <w:rFonts w:ascii="Arial Narrow" w:eastAsia="Arial Unicode MS" w:hAnsi="Arial Narrow" w:cs="Arial Unicode MS"/>
          <w:color w:val="595959" w:themeColor="text1" w:themeTint="A6"/>
          <w:sz w:val="24"/>
          <w:szCs w:val="24"/>
        </w:rPr>
        <w:t>___________________</w:t>
      </w:r>
      <w:r w:rsidRPr="00250967">
        <w:rPr>
          <w:rFonts w:ascii="Arial Narrow" w:eastAsia="Arial Unicode MS" w:hAnsi="Arial Narrow" w:cs="Arial Unicode MS"/>
          <w:color w:val="595959" w:themeColor="text1" w:themeTint="A6"/>
          <w:sz w:val="24"/>
          <w:szCs w:val="24"/>
        </w:rPr>
        <w:t xml:space="preserve"> (ci-après : « l’Immeuble ») afin d’y établir leurs cabinets de kinésithérapie. </w:t>
      </w:r>
    </w:p>
    <w:p w14:paraId="4135EB37"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C8D6E34"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68C996D5"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 xml:space="preserve">A LA SUITE DE QUOI, IL A ETE CONVENU CE QUI SUIT : </w:t>
      </w:r>
    </w:p>
    <w:p w14:paraId="18AC5055"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25929663"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3A00EB6"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OBJET</w:t>
      </w:r>
    </w:p>
    <w:p w14:paraId="2E611F2E"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EF5F0F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1C2B0C7A" w14:textId="77777777" w:rsidR="00452922" w:rsidRPr="00250967" w:rsidRDefault="00452922" w:rsidP="00452922">
      <w:pPr>
        <w:pStyle w:val="Corpsdetexte"/>
        <w:numPr>
          <w:ilvl w:val="1"/>
          <w:numId w:val="11"/>
        </w:numPr>
        <w:kinsoku w:val="0"/>
        <w:overflowPunct w:val="0"/>
        <w:ind w:left="709" w:right="87" w:hanging="709"/>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 présente convention a pour objet de définir les droits et obligations des Parties en leurs qualités de copropriétaires de l’Immeuble.</w:t>
      </w:r>
    </w:p>
    <w:p w14:paraId="3A8A73BF"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6C872E8A"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19116144"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lastRenderedPageBreak/>
        <w:t>DESTINATION DE L’IMMEUBLE ET AFFECTATION DES LOCAUX</w:t>
      </w:r>
    </w:p>
    <w:p w14:paraId="4ACD2E5E"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C789C9F"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A1D5CBF"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L’Immeuble est intégralement affecté à l’exercice d’activités médicales ou paramédicales. Cette destination ne pourra être modifiée que de l’accord des Parties.</w:t>
      </w:r>
    </w:p>
    <w:p w14:paraId="537BF52F"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5579F832" w14:textId="1B2508F5"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L’Immeuble est composé de différents locaux, </w:t>
      </w:r>
      <w:r>
        <w:rPr>
          <w:rFonts w:ascii="Arial Narrow" w:eastAsia="Arial Unicode MS" w:hAnsi="Arial Narrow" w:cs="Arial Unicode MS"/>
          <w:color w:val="595959" w:themeColor="text1" w:themeTint="A6"/>
          <w:sz w:val="24"/>
          <w:szCs w:val="24"/>
        </w:rPr>
        <w:t>dont l’</w:t>
      </w:r>
      <w:r w:rsidRPr="00250967">
        <w:rPr>
          <w:rFonts w:ascii="Arial Narrow" w:eastAsia="Arial Unicode MS" w:hAnsi="Arial Narrow" w:cs="Arial Unicode MS"/>
          <w:color w:val="595959" w:themeColor="text1" w:themeTint="A6"/>
          <w:sz w:val="24"/>
          <w:szCs w:val="24"/>
        </w:rPr>
        <w:t>usage commun ou exclusif </w:t>
      </w:r>
      <w:r>
        <w:rPr>
          <w:rFonts w:ascii="Arial Narrow" w:eastAsia="Arial Unicode MS" w:hAnsi="Arial Narrow" w:cs="Arial Unicode MS"/>
          <w:color w:val="595959" w:themeColor="text1" w:themeTint="A6"/>
          <w:sz w:val="24"/>
          <w:szCs w:val="24"/>
        </w:rPr>
        <w:t xml:space="preserve">est déterminé comme suit </w:t>
      </w:r>
      <w:r w:rsidRPr="00250967">
        <w:rPr>
          <w:rFonts w:ascii="Arial Narrow" w:eastAsia="Arial Unicode MS" w:hAnsi="Arial Narrow" w:cs="Arial Unicode MS"/>
          <w:color w:val="595959" w:themeColor="text1" w:themeTint="A6"/>
          <w:sz w:val="24"/>
          <w:szCs w:val="24"/>
        </w:rPr>
        <w:t xml:space="preserve">: </w:t>
      </w:r>
    </w:p>
    <w:p w14:paraId="49E1C1C9" w14:textId="77777777" w:rsidR="00452922"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4D410D6"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tbl>
      <w:tblPr>
        <w:tblStyle w:val="Grilledutableau"/>
        <w:tblW w:w="8276" w:type="dxa"/>
        <w:tblInd w:w="7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51"/>
        <w:gridCol w:w="5525"/>
      </w:tblGrid>
      <w:tr w:rsidR="00452922" w:rsidRPr="00250967" w14:paraId="2CECB075" w14:textId="77777777" w:rsidTr="00DE09E6">
        <w:tc>
          <w:tcPr>
            <w:tcW w:w="2751" w:type="dxa"/>
          </w:tcPr>
          <w:p w14:paraId="2E9BD000" w14:textId="77777777" w:rsidR="00452922"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696D343" w14:textId="700944A8"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Locaux à usage exclusif : </w:t>
            </w:r>
          </w:p>
        </w:tc>
        <w:tc>
          <w:tcPr>
            <w:tcW w:w="5525" w:type="dxa"/>
          </w:tcPr>
          <w:p w14:paraId="28056E01" w14:textId="77777777" w:rsidR="00452922"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63336C02" w14:textId="2A876A4A"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deux cabinets occupés par les Parties et un troisième cabinet destiné à la location.</w:t>
            </w:r>
          </w:p>
          <w:p w14:paraId="46C36B2F" w14:textId="77777777"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1F3B779" w14:textId="6265FAFE" w:rsidR="00452922"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Chacune des Parties à l’usage exclusif du cabinet qui lui est attribué</w:t>
            </w:r>
            <w:r>
              <w:rPr>
                <w:rFonts w:ascii="Arial Narrow" w:eastAsia="Arial Unicode MS" w:hAnsi="Arial Narrow" w:cs="Arial Unicode MS"/>
                <w:color w:val="595959" w:themeColor="text1" w:themeTint="A6"/>
                <w:sz w:val="24"/>
                <w:szCs w:val="24"/>
              </w:rPr>
              <w:t xml:space="preserve">, à savoir </w:t>
            </w:r>
            <w:r w:rsidRPr="00084CA7">
              <w:rPr>
                <w:rFonts w:ascii="Arial Narrow" w:eastAsia="Arial Unicode MS" w:hAnsi="Arial Narrow" w:cs="Arial Unicode MS"/>
                <w:color w:val="595959" w:themeColor="text1" w:themeTint="A6"/>
                <w:sz w:val="24"/>
                <w:szCs w:val="24"/>
              </w:rPr>
              <w:t xml:space="preserve">pour </w:t>
            </w:r>
            <w:r>
              <w:rPr>
                <w:rFonts w:ascii="Arial Narrow" w:eastAsia="Arial Unicode MS" w:hAnsi="Arial Narrow" w:cs="Arial Unicode MS"/>
                <w:color w:val="595959" w:themeColor="text1" w:themeTint="A6"/>
                <w:sz w:val="24"/>
                <w:szCs w:val="24"/>
              </w:rPr>
              <w:t>Nicolas</w:t>
            </w:r>
            <w:r w:rsidRPr="00084CA7">
              <w:rPr>
                <w:rFonts w:ascii="Arial Narrow" w:eastAsia="Arial Unicode MS" w:hAnsi="Arial Narrow" w:cs="Arial Unicode MS"/>
                <w:color w:val="595959" w:themeColor="text1" w:themeTint="A6"/>
                <w:sz w:val="24"/>
                <w:szCs w:val="24"/>
              </w:rPr>
              <w:t xml:space="preserve">, le premier cabinet à </w:t>
            </w:r>
            <w:r>
              <w:rPr>
                <w:rFonts w:ascii="Arial Narrow" w:eastAsia="Arial Unicode MS" w:hAnsi="Arial Narrow" w:cs="Arial Unicode MS"/>
                <w:color w:val="595959" w:themeColor="text1" w:themeTint="A6"/>
                <w:sz w:val="24"/>
                <w:szCs w:val="24"/>
              </w:rPr>
              <w:t>droite en regardant l’Immeuble depuis la rue</w:t>
            </w:r>
            <w:r w:rsidRPr="00084CA7">
              <w:rPr>
                <w:rFonts w:ascii="Arial Narrow" w:eastAsia="Arial Unicode MS" w:hAnsi="Arial Narrow" w:cs="Arial Unicode MS"/>
                <w:color w:val="595959" w:themeColor="text1" w:themeTint="A6"/>
                <w:sz w:val="24"/>
                <w:szCs w:val="24"/>
              </w:rPr>
              <w:t xml:space="preserve"> et pour </w:t>
            </w:r>
            <w:r>
              <w:rPr>
                <w:rFonts w:ascii="Arial Narrow" w:eastAsia="Arial Unicode MS" w:hAnsi="Arial Narrow" w:cs="Arial Unicode MS"/>
                <w:color w:val="595959" w:themeColor="text1" w:themeTint="A6"/>
                <w:sz w:val="24"/>
                <w:szCs w:val="24"/>
              </w:rPr>
              <w:t>Sabine</w:t>
            </w:r>
            <w:r w:rsidRPr="00084CA7">
              <w:rPr>
                <w:rFonts w:ascii="Arial Narrow" w:eastAsia="Arial Unicode MS" w:hAnsi="Arial Narrow" w:cs="Arial Unicode MS"/>
                <w:color w:val="595959" w:themeColor="text1" w:themeTint="A6"/>
                <w:sz w:val="24"/>
                <w:szCs w:val="24"/>
              </w:rPr>
              <w:t>, le premier cabinet</w:t>
            </w:r>
            <w:r>
              <w:rPr>
                <w:rFonts w:ascii="Arial Narrow" w:eastAsia="Arial Unicode MS" w:hAnsi="Arial Narrow" w:cs="Arial Unicode MS"/>
                <w:color w:val="595959" w:themeColor="text1" w:themeTint="A6"/>
                <w:sz w:val="24"/>
                <w:szCs w:val="24"/>
              </w:rPr>
              <w:t xml:space="preserve"> à gauche.</w:t>
            </w:r>
            <w:r w:rsidRPr="00250967">
              <w:rPr>
                <w:rFonts w:ascii="Arial Narrow" w:eastAsia="Arial Unicode MS" w:hAnsi="Arial Narrow" w:cs="Arial Unicode MS"/>
                <w:color w:val="595959" w:themeColor="text1" w:themeTint="A6"/>
                <w:sz w:val="24"/>
                <w:szCs w:val="24"/>
              </w:rPr>
              <w:t xml:space="preserve"> </w:t>
            </w:r>
          </w:p>
          <w:p w14:paraId="0DD28F27" w14:textId="77777777" w:rsidR="00452922"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p>
          <w:p w14:paraId="61CA77C0" w14:textId="77777777" w:rsidR="00452922" w:rsidRPr="00250967"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L’autre Partie n’y aura accès qu’en cas d’urgence ou absolue nécessité. </w:t>
            </w:r>
          </w:p>
          <w:p w14:paraId="2F60DD83" w14:textId="77777777" w:rsidR="00452922" w:rsidRPr="00250967"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p>
          <w:p w14:paraId="321EBF7C" w14:textId="77777777" w:rsidR="00452922" w:rsidRPr="00250967"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L’accès des Parties au troisième cabinet est libre, sauf les restrictions qui seraient fixées par le contrat de bail.</w:t>
            </w:r>
          </w:p>
          <w:p w14:paraId="60A4CA2B" w14:textId="77777777"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tc>
      </w:tr>
      <w:tr w:rsidR="00452922" w:rsidRPr="00250967" w14:paraId="3D6BDEF3" w14:textId="77777777" w:rsidTr="00DE09E6">
        <w:tc>
          <w:tcPr>
            <w:tcW w:w="2751" w:type="dxa"/>
          </w:tcPr>
          <w:p w14:paraId="59812604" w14:textId="77777777" w:rsidR="00452922"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F3A545F" w14:textId="7359DD06"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Locaux </w:t>
            </w:r>
            <w:r>
              <w:rPr>
                <w:rFonts w:ascii="Arial Narrow" w:eastAsia="Arial Unicode MS" w:hAnsi="Arial Narrow" w:cs="Arial Unicode MS"/>
                <w:color w:val="595959" w:themeColor="text1" w:themeTint="A6"/>
                <w:sz w:val="24"/>
                <w:szCs w:val="24"/>
              </w:rPr>
              <w:t xml:space="preserve">à usage </w:t>
            </w:r>
            <w:r w:rsidRPr="00250967">
              <w:rPr>
                <w:rFonts w:ascii="Arial Narrow" w:eastAsia="Arial Unicode MS" w:hAnsi="Arial Narrow" w:cs="Arial Unicode MS"/>
                <w:color w:val="595959" w:themeColor="text1" w:themeTint="A6"/>
                <w:sz w:val="24"/>
                <w:szCs w:val="24"/>
              </w:rPr>
              <w:t xml:space="preserve">commun : </w:t>
            </w:r>
          </w:p>
        </w:tc>
        <w:tc>
          <w:tcPr>
            <w:tcW w:w="5525" w:type="dxa"/>
          </w:tcPr>
          <w:p w14:paraId="6800263A" w14:textId="77777777" w:rsidR="00452922"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BC36826" w14:textId="4A9C4497"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Hall d’entrée, salle de gym, sanitaires (salle de bain, </w:t>
            </w:r>
            <w:proofErr w:type="spellStart"/>
            <w:r w:rsidRPr="00250967">
              <w:rPr>
                <w:rFonts w:ascii="Arial Narrow" w:eastAsia="Arial Unicode MS" w:hAnsi="Arial Narrow" w:cs="Arial Unicode MS"/>
                <w:color w:val="595959" w:themeColor="text1" w:themeTint="A6"/>
                <w:sz w:val="24"/>
                <w:szCs w:val="24"/>
              </w:rPr>
              <w:t>wc</w:t>
            </w:r>
            <w:proofErr w:type="spellEnd"/>
            <w:r w:rsidRPr="00250967">
              <w:rPr>
                <w:rFonts w:ascii="Arial Narrow" w:eastAsia="Arial Unicode MS" w:hAnsi="Arial Narrow" w:cs="Arial Unicode MS"/>
                <w:color w:val="595959" w:themeColor="text1" w:themeTint="A6"/>
                <w:sz w:val="24"/>
                <w:szCs w:val="24"/>
              </w:rPr>
              <w:t>), cuisine, jardin.</w:t>
            </w:r>
          </w:p>
          <w:p w14:paraId="227F5705" w14:textId="77777777" w:rsidR="00452922" w:rsidRPr="00250967" w:rsidRDefault="00452922" w:rsidP="00DE09E6">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A3A0CCC" w14:textId="77777777" w:rsidR="00452922"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Parties ont un libre accès aux Locaux communs. L’accès aux Locaux communs par le locataire du troisième cabinet sera déterminé par le contrat de bail.</w:t>
            </w:r>
          </w:p>
          <w:p w14:paraId="7009A780" w14:textId="77777777" w:rsidR="00452922" w:rsidRPr="00250967" w:rsidRDefault="00452922" w:rsidP="00DE09E6">
            <w:pPr>
              <w:pStyle w:val="Corpsdetexte"/>
              <w:kinsoku w:val="0"/>
              <w:overflowPunct w:val="0"/>
              <w:ind w:left="463" w:right="459"/>
              <w:jc w:val="both"/>
              <w:rPr>
                <w:rFonts w:ascii="Arial Narrow" w:eastAsia="Arial Unicode MS" w:hAnsi="Arial Narrow" w:cs="Arial Unicode MS"/>
                <w:color w:val="595959" w:themeColor="text1" w:themeTint="A6"/>
                <w:sz w:val="24"/>
                <w:szCs w:val="24"/>
              </w:rPr>
            </w:pPr>
          </w:p>
        </w:tc>
      </w:tr>
    </w:tbl>
    <w:p w14:paraId="6E54D715"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7CC336B"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FDD7432"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CHARGES ET INVESTISSEMENTS DE LA COPROPRIÉTÉ</w:t>
      </w:r>
    </w:p>
    <w:p w14:paraId="6DBFAAAE"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6D03D39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6DA185C" w14:textId="68C762F3"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 remboursement de l’emprunt hypothécaire souscrit par les Parties pour financer l’achat de l’Immeuble ainsi que toutes les charges, tous les frais, tous les impôts et taxe</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 liés à l’Immeuble</w:t>
      </w:r>
      <w:r>
        <w:rPr>
          <w:rFonts w:ascii="Arial Narrow" w:eastAsia="Arial Unicode MS" w:hAnsi="Arial Narrow" w:cs="Arial Unicode MS"/>
          <w:color w:val="595959" w:themeColor="text1" w:themeTint="A6"/>
          <w:sz w:val="24"/>
          <w:szCs w:val="24"/>
        </w:rPr>
        <w:t xml:space="preserve"> (ci-après, « les Charges au Sens Large »)</w:t>
      </w:r>
      <w:r w:rsidRPr="00250967">
        <w:rPr>
          <w:rFonts w:ascii="Arial Narrow" w:eastAsia="Arial Unicode MS" w:hAnsi="Arial Narrow" w:cs="Arial Unicode MS"/>
          <w:color w:val="595959" w:themeColor="text1" w:themeTint="A6"/>
          <w:sz w:val="24"/>
          <w:szCs w:val="24"/>
        </w:rPr>
        <w:t xml:space="preserve"> sont répartis par moitié (50/50) entre les Parties.</w:t>
      </w:r>
    </w:p>
    <w:p w14:paraId="37E551AC"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37AFB90"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Parties considèrent irrévocablement que les cabinets qu’elles occupent exclusivement se valent. Elles considèrent également irrévocablement qu’elles ont la même jouissance ou faculté de jouissance des Locaux communs. Dès lors, elles s’interdisent de remettre en cause la clé de répartition 50/50 de</w:t>
      </w:r>
      <w:r>
        <w:rPr>
          <w:rFonts w:ascii="Arial Narrow" w:eastAsia="Arial Unicode MS" w:hAnsi="Arial Narrow" w:cs="Arial Unicode MS"/>
          <w:color w:val="595959" w:themeColor="text1" w:themeTint="A6"/>
          <w:sz w:val="24"/>
          <w:szCs w:val="24"/>
        </w:rPr>
        <w:t>s C</w:t>
      </w:r>
      <w:r w:rsidRPr="00250967">
        <w:rPr>
          <w:rFonts w:ascii="Arial Narrow" w:eastAsia="Arial Unicode MS" w:hAnsi="Arial Narrow" w:cs="Arial Unicode MS"/>
          <w:color w:val="595959" w:themeColor="text1" w:themeTint="A6"/>
          <w:sz w:val="24"/>
          <w:szCs w:val="24"/>
        </w:rPr>
        <w:t>harge</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 au </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ens </w:t>
      </w:r>
      <w:r>
        <w:rPr>
          <w:rFonts w:ascii="Arial Narrow" w:eastAsia="Arial Unicode MS" w:hAnsi="Arial Narrow" w:cs="Arial Unicode MS"/>
          <w:color w:val="595959" w:themeColor="text1" w:themeTint="A6"/>
          <w:sz w:val="24"/>
          <w:szCs w:val="24"/>
        </w:rPr>
        <w:t>L</w:t>
      </w:r>
      <w:r w:rsidRPr="00250967">
        <w:rPr>
          <w:rFonts w:ascii="Arial Narrow" w:eastAsia="Arial Unicode MS" w:hAnsi="Arial Narrow" w:cs="Arial Unicode MS"/>
          <w:color w:val="595959" w:themeColor="text1" w:themeTint="A6"/>
          <w:sz w:val="24"/>
          <w:szCs w:val="24"/>
        </w:rPr>
        <w:t>arg</w:t>
      </w:r>
      <w:r>
        <w:rPr>
          <w:rFonts w:ascii="Arial Narrow" w:eastAsia="Arial Unicode MS" w:hAnsi="Arial Narrow" w:cs="Arial Unicode MS"/>
          <w:color w:val="595959" w:themeColor="text1" w:themeTint="A6"/>
          <w:sz w:val="24"/>
          <w:szCs w:val="24"/>
        </w:rPr>
        <w:t>e</w:t>
      </w:r>
      <w:r w:rsidRPr="00250967">
        <w:rPr>
          <w:rFonts w:ascii="Arial Narrow" w:eastAsia="Arial Unicode MS" w:hAnsi="Arial Narrow" w:cs="Arial Unicode MS"/>
          <w:color w:val="595959" w:themeColor="text1" w:themeTint="A6"/>
          <w:sz w:val="24"/>
          <w:szCs w:val="24"/>
        </w:rPr>
        <w:t xml:space="preserve"> de l’Immeuble.</w:t>
      </w:r>
    </w:p>
    <w:p w14:paraId="5011B979" w14:textId="77777777" w:rsidR="00452922" w:rsidRPr="00C938AD"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3054207" w14:textId="6990B570" w:rsidR="00452922"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C938AD">
        <w:rPr>
          <w:rFonts w:ascii="Arial Narrow" w:eastAsia="Arial Unicode MS" w:hAnsi="Arial Narrow" w:cs="Arial Unicode MS"/>
          <w:color w:val="595959" w:themeColor="text1" w:themeTint="A6"/>
          <w:sz w:val="24"/>
          <w:szCs w:val="24"/>
        </w:rPr>
        <w:t xml:space="preserve">Afin de faire face aux Charges au Sens Large de l’Immeuble, les Parties s’engagent à verser une provision suffisante chaque dernier jour du mois sur le compte commun </w:t>
      </w:r>
      <w:r w:rsidRPr="00452922">
        <w:rPr>
          <w:rFonts w:ascii="Arial Narrow" w:eastAsia="Arial Unicode MS" w:hAnsi="Arial Narrow" w:cs="Arial Unicode MS"/>
          <w:color w:val="595959" w:themeColor="text1" w:themeTint="A6"/>
          <w:sz w:val="24"/>
          <w:szCs w:val="24"/>
        </w:rPr>
        <w:t>BE</w:t>
      </w:r>
      <w:r>
        <w:rPr>
          <w:rFonts w:ascii="Arial Narrow" w:eastAsia="Arial Unicode MS" w:hAnsi="Arial Narrow" w:cs="Arial Unicode MS"/>
          <w:color w:val="595959" w:themeColor="text1" w:themeTint="A6"/>
          <w:sz w:val="24"/>
          <w:szCs w:val="24"/>
        </w:rPr>
        <w:t xml:space="preserve">__ ____ ____ ____ </w:t>
      </w:r>
      <w:r w:rsidRPr="00C938AD">
        <w:rPr>
          <w:rFonts w:ascii="Arial Narrow" w:eastAsia="Arial Unicode MS" w:hAnsi="Arial Narrow" w:cs="Arial Unicode MS"/>
          <w:color w:val="595959" w:themeColor="text1" w:themeTint="A6"/>
          <w:sz w:val="24"/>
          <w:szCs w:val="24"/>
        </w:rPr>
        <w:lastRenderedPageBreak/>
        <w:t xml:space="preserve">ouvert à leurs deux noms. </w:t>
      </w:r>
    </w:p>
    <w:p w14:paraId="0BC2F60A" w14:textId="77777777" w:rsidR="00452922" w:rsidRDefault="00452922" w:rsidP="00452922">
      <w:pPr>
        <w:pStyle w:val="Paragraphedeliste"/>
        <w:rPr>
          <w:rFonts w:ascii="Arial Narrow" w:eastAsia="Arial Unicode MS" w:hAnsi="Arial Narrow" w:cs="Arial Unicode MS"/>
          <w:color w:val="595959" w:themeColor="text1" w:themeTint="A6"/>
        </w:rPr>
      </w:pPr>
    </w:p>
    <w:p w14:paraId="51659BE6" w14:textId="77777777" w:rsidR="00452922" w:rsidRDefault="00452922" w:rsidP="00452922">
      <w:pPr>
        <w:pStyle w:val="Paragraphedeliste"/>
        <w:jc w:val="both"/>
        <w:rPr>
          <w:rFonts w:ascii="Arial Narrow" w:eastAsia="Arial Unicode MS" w:hAnsi="Arial Narrow" w:cs="Arial Unicode MS"/>
          <w:color w:val="595959" w:themeColor="text1" w:themeTint="A6"/>
        </w:rPr>
      </w:pPr>
      <w:r>
        <w:rPr>
          <w:rFonts w:ascii="Arial Narrow" w:eastAsia="Arial Unicode MS" w:hAnsi="Arial Narrow" w:cs="Arial Unicode MS"/>
          <w:color w:val="595959" w:themeColor="text1" w:themeTint="A6"/>
        </w:rPr>
        <w:t>Au moment de la signature de la Présente Convention, cette provision est fixée à 1.000 € par Partie.</w:t>
      </w:r>
    </w:p>
    <w:p w14:paraId="421A9E39" w14:textId="77777777" w:rsidR="00452922"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1234B81E" w14:textId="77777777" w:rsidR="00452922" w:rsidRPr="00C938AD" w:rsidRDefault="00452922" w:rsidP="00452922">
      <w:pPr>
        <w:pStyle w:val="Corpsdetexte"/>
        <w:kinsoku w:val="0"/>
        <w:overflowPunct w:val="0"/>
        <w:ind w:left="709" w:right="87"/>
        <w:rPr>
          <w:rFonts w:ascii="Arial Narrow" w:eastAsia="Arial Unicode MS" w:hAnsi="Arial Narrow" w:cs="Arial Unicode MS"/>
          <w:color w:val="595959" w:themeColor="text1" w:themeTint="A6"/>
          <w:sz w:val="24"/>
          <w:szCs w:val="24"/>
        </w:rPr>
      </w:pPr>
      <w:r w:rsidRPr="00C938AD">
        <w:rPr>
          <w:rFonts w:ascii="Arial Narrow" w:eastAsia="Arial Unicode MS" w:hAnsi="Arial Narrow" w:cs="Arial Unicode MS"/>
          <w:color w:val="595959" w:themeColor="text1" w:themeTint="A6"/>
          <w:sz w:val="24"/>
          <w:szCs w:val="24"/>
        </w:rPr>
        <w:t>Chaque année au moins, sur base des Charges au Sens Large échues, le montant de la provision sera adapté afin que le compte commun soit toujours suffisamment provisionné.</w:t>
      </w:r>
    </w:p>
    <w:p w14:paraId="0B880E59"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7D9B2FB0"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Ce compte commun ne pourra être utilisé que pour le règlement des </w:t>
      </w:r>
      <w:r>
        <w:rPr>
          <w:rFonts w:ascii="Arial Narrow" w:eastAsia="Arial Unicode MS" w:hAnsi="Arial Narrow" w:cs="Arial Unicode MS"/>
          <w:color w:val="595959" w:themeColor="text1" w:themeTint="A6"/>
          <w:sz w:val="24"/>
          <w:szCs w:val="24"/>
        </w:rPr>
        <w:t>C</w:t>
      </w:r>
      <w:r w:rsidRPr="00250967">
        <w:rPr>
          <w:rFonts w:ascii="Arial Narrow" w:eastAsia="Arial Unicode MS" w:hAnsi="Arial Narrow" w:cs="Arial Unicode MS"/>
          <w:color w:val="595959" w:themeColor="text1" w:themeTint="A6"/>
          <w:sz w:val="24"/>
          <w:szCs w:val="24"/>
        </w:rPr>
        <w:t>harge</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 au </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ens </w:t>
      </w:r>
      <w:r>
        <w:rPr>
          <w:rFonts w:ascii="Arial Narrow" w:eastAsia="Arial Unicode MS" w:hAnsi="Arial Narrow" w:cs="Arial Unicode MS"/>
          <w:color w:val="595959" w:themeColor="text1" w:themeTint="A6"/>
          <w:sz w:val="24"/>
          <w:szCs w:val="24"/>
        </w:rPr>
        <w:t>L</w:t>
      </w:r>
      <w:r w:rsidRPr="00250967">
        <w:rPr>
          <w:rFonts w:ascii="Arial Narrow" w:eastAsia="Arial Unicode MS" w:hAnsi="Arial Narrow" w:cs="Arial Unicode MS"/>
          <w:color w:val="595959" w:themeColor="text1" w:themeTint="A6"/>
          <w:sz w:val="24"/>
          <w:szCs w:val="24"/>
        </w:rPr>
        <w:t>arg</w:t>
      </w:r>
      <w:r>
        <w:rPr>
          <w:rFonts w:ascii="Arial Narrow" w:eastAsia="Arial Unicode MS" w:hAnsi="Arial Narrow" w:cs="Arial Unicode MS"/>
          <w:color w:val="595959" w:themeColor="text1" w:themeTint="A6"/>
          <w:sz w:val="24"/>
          <w:szCs w:val="24"/>
        </w:rPr>
        <w:t>e</w:t>
      </w:r>
      <w:r w:rsidRPr="00250967">
        <w:rPr>
          <w:rFonts w:ascii="Arial Narrow" w:eastAsia="Arial Unicode MS" w:hAnsi="Arial Narrow" w:cs="Arial Unicode MS"/>
          <w:color w:val="595959" w:themeColor="text1" w:themeTint="A6"/>
          <w:sz w:val="24"/>
          <w:szCs w:val="24"/>
        </w:rPr>
        <w:t xml:space="preserve"> de l’Immeuble. Les provisions versées ne pourront être reversées à l’une ou l’autre des Parties que de l’accord des deux Parties.</w:t>
      </w:r>
    </w:p>
    <w:p w14:paraId="45817E74"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13DD0A60"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Les Parties s’accordent pour que l’Immeuble soit maintenu en excellent état. Aussi, elles s’engagent à assumer tout investissement, même extraordinaire, nécessaire au maintien de cet état. </w:t>
      </w:r>
    </w:p>
    <w:p w14:paraId="21E3BD60"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38E4BDB4"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A4E7437"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 xml:space="preserve">LOCATION DU TROISIÈME LOCAL </w:t>
      </w:r>
    </w:p>
    <w:p w14:paraId="6ECD22F1"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EC263E6"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127F3B36"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Le troisième cabinet, non utilisé à titre exclusif par les Parties, est destiné à la location, à titre professionnel, par une tierce personne qui remplit les conditions suivantes : </w:t>
      </w:r>
    </w:p>
    <w:p w14:paraId="360F3320"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0029286C" w14:textId="77777777" w:rsidR="00452922"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il est un praticien du secteur </w:t>
      </w:r>
      <w:r>
        <w:rPr>
          <w:rFonts w:ascii="Arial Narrow" w:eastAsia="Arial Unicode MS" w:hAnsi="Arial Narrow" w:cs="Arial Unicode MS"/>
          <w:color w:val="595959" w:themeColor="text1" w:themeTint="A6"/>
          <w:sz w:val="24"/>
          <w:szCs w:val="24"/>
        </w:rPr>
        <w:t xml:space="preserve">médical ou </w:t>
      </w:r>
      <w:r w:rsidRPr="00250967">
        <w:rPr>
          <w:rFonts w:ascii="Arial Narrow" w:eastAsia="Arial Unicode MS" w:hAnsi="Arial Narrow" w:cs="Arial Unicode MS"/>
          <w:color w:val="595959" w:themeColor="text1" w:themeTint="A6"/>
          <w:sz w:val="24"/>
          <w:szCs w:val="24"/>
        </w:rPr>
        <w:t xml:space="preserve">paramédical ; </w:t>
      </w:r>
      <w:r>
        <w:rPr>
          <w:rFonts w:ascii="Arial Narrow" w:eastAsia="Arial Unicode MS" w:hAnsi="Arial Narrow" w:cs="Arial Unicode MS"/>
          <w:color w:val="595959" w:themeColor="text1" w:themeTint="A6"/>
          <w:sz w:val="24"/>
          <w:szCs w:val="24"/>
        </w:rPr>
        <w:t>il pourra également exercer une autre activité, mais seulement si les deux Parties sont d’accord ;</w:t>
      </w:r>
    </w:p>
    <w:p w14:paraId="18EAFB37" w14:textId="77777777" w:rsidR="00452922" w:rsidRPr="00250967" w:rsidRDefault="00452922" w:rsidP="00452922">
      <w:pPr>
        <w:pStyle w:val="Corpsdetexte"/>
        <w:kinsoku w:val="0"/>
        <w:overflowPunct w:val="0"/>
        <w:ind w:left="0" w:right="87"/>
        <w:rPr>
          <w:rFonts w:ascii="Arial Narrow" w:eastAsia="Arial Unicode MS" w:hAnsi="Arial Narrow" w:cs="Arial Unicode MS"/>
          <w:color w:val="595959" w:themeColor="text1" w:themeTint="A6"/>
          <w:sz w:val="24"/>
          <w:szCs w:val="24"/>
        </w:rPr>
      </w:pPr>
    </w:p>
    <w:p w14:paraId="09B4355D" w14:textId="77777777" w:rsidR="00452922" w:rsidRPr="00250967"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il a obtenu l’agrément commun des Parties. </w:t>
      </w:r>
    </w:p>
    <w:p w14:paraId="616FF618"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1F40D13C"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Le loyer sera obligatoirement versé sur le compte commun des Parties affectées aux </w:t>
      </w:r>
      <w:r>
        <w:rPr>
          <w:rFonts w:ascii="Arial Narrow" w:eastAsia="Arial Unicode MS" w:hAnsi="Arial Narrow" w:cs="Arial Unicode MS"/>
          <w:color w:val="595959" w:themeColor="text1" w:themeTint="A6"/>
          <w:sz w:val="24"/>
          <w:szCs w:val="24"/>
        </w:rPr>
        <w:t>C</w:t>
      </w:r>
      <w:r w:rsidRPr="00250967">
        <w:rPr>
          <w:rFonts w:ascii="Arial Narrow" w:eastAsia="Arial Unicode MS" w:hAnsi="Arial Narrow" w:cs="Arial Unicode MS"/>
          <w:color w:val="595959" w:themeColor="text1" w:themeTint="A6"/>
          <w:sz w:val="24"/>
          <w:szCs w:val="24"/>
        </w:rPr>
        <w:t>harge</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 au </w:t>
      </w:r>
      <w:r>
        <w:rPr>
          <w:rFonts w:ascii="Arial Narrow" w:eastAsia="Arial Unicode MS" w:hAnsi="Arial Narrow" w:cs="Arial Unicode MS"/>
          <w:color w:val="595959" w:themeColor="text1" w:themeTint="A6"/>
          <w:sz w:val="24"/>
          <w:szCs w:val="24"/>
        </w:rPr>
        <w:t>S</w:t>
      </w:r>
      <w:r w:rsidRPr="00250967">
        <w:rPr>
          <w:rFonts w:ascii="Arial Narrow" w:eastAsia="Arial Unicode MS" w:hAnsi="Arial Narrow" w:cs="Arial Unicode MS"/>
          <w:color w:val="595959" w:themeColor="text1" w:themeTint="A6"/>
          <w:sz w:val="24"/>
          <w:szCs w:val="24"/>
        </w:rPr>
        <w:t xml:space="preserve">ens </w:t>
      </w:r>
      <w:r>
        <w:rPr>
          <w:rFonts w:ascii="Arial Narrow" w:eastAsia="Arial Unicode MS" w:hAnsi="Arial Narrow" w:cs="Arial Unicode MS"/>
          <w:color w:val="595959" w:themeColor="text1" w:themeTint="A6"/>
          <w:sz w:val="24"/>
          <w:szCs w:val="24"/>
        </w:rPr>
        <w:t>L</w:t>
      </w:r>
      <w:r w:rsidRPr="00250967">
        <w:rPr>
          <w:rFonts w:ascii="Arial Narrow" w:eastAsia="Arial Unicode MS" w:hAnsi="Arial Narrow" w:cs="Arial Unicode MS"/>
          <w:color w:val="595959" w:themeColor="text1" w:themeTint="A6"/>
          <w:sz w:val="24"/>
          <w:szCs w:val="24"/>
        </w:rPr>
        <w:t>arg</w:t>
      </w:r>
      <w:r>
        <w:rPr>
          <w:rFonts w:ascii="Arial Narrow" w:eastAsia="Arial Unicode MS" w:hAnsi="Arial Narrow" w:cs="Arial Unicode MS"/>
          <w:color w:val="595959" w:themeColor="text1" w:themeTint="A6"/>
          <w:sz w:val="24"/>
          <w:szCs w:val="24"/>
        </w:rPr>
        <w:t>e</w:t>
      </w:r>
      <w:r w:rsidRPr="00250967">
        <w:rPr>
          <w:rFonts w:ascii="Arial Narrow" w:eastAsia="Arial Unicode MS" w:hAnsi="Arial Narrow" w:cs="Arial Unicode MS"/>
          <w:color w:val="595959" w:themeColor="text1" w:themeTint="A6"/>
          <w:sz w:val="24"/>
          <w:szCs w:val="24"/>
        </w:rPr>
        <w:t xml:space="preserve"> de la copropriété.</w:t>
      </w:r>
    </w:p>
    <w:p w14:paraId="14A7AE76"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7FDC992A" w14:textId="71B89F9E"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 relation entre les Parties et le locataire ser</w:t>
      </w:r>
      <w:r w:rsidR="00C43D88">
        <w:rPr>
          <w:rFonts w:ascii="Arial Narrow" w:eastAsia="Arial Unicode MS" w:hAnsi="Arial Narrow" w:cs="Arial Unicode MS"/>
          <w:color w:val="595959" w:themeColor="text1" w:themeTint="A6"/>
          <w:sz w:val="24"/>
          <w:szCs w:val="24"/>
        </w:rPr>
        <w:t>a</w:t>
      </w:r>
      <w:r w:rsidRPr="00250967">
        <w:rPr>
          <w:rFonts w:ascii="Arial Narrow" w:eastAsia="Arial Unicode MS" w:hAnsi="Arial Narrow" w:cs="Arial Unicode MS"/>
          <w:color w:val="595959" w:themeColor="text1" w:themeTint="A6"/>
          <w:sz w:val="24"/>
          <w:szCs w:val="24"/>
        </w:rPr>
        <w:t xml:space="preserve"> définie par un contrat de location indépendant de la présente Convention. </w:t>
      </w:r>
    </w:p>
    <w:p w14:paraId="4CECD838"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352FAED7"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Dans les relations entre les Parties, en cas de contradiction entre la présente Convention et ledit contrat de location, les dispositions de la présente Convention prévalent. </w:t>
      </w:r>
    </w:p>
    <w:p w14:paraId="0153476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2E7C17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FF6CEA6"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 xml:space="preserve">DURÉE </w:t>
      </w:r>
    </w:p>
    <w:p w14:paraId="7A628D71"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1D931C5"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4572702"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La présente Convention est conclue pour une durée déterminée initiale de 20 ans, prenant court le </w:t>
      </w:r>
      <w:r>
        <w:rPr>
          <w:rFonts w:ascii="Arial Narrow" w:eastAsia="Arial Unicode MS" w:hAnsi="Arial Narrow" w:cs="Arial Unicode MS"/>
          <w:color w:val="595959" w:themeColor="text1" w:themeTint="A6"/>
          <w:sz w:val="24"/>
          <w:szCs w:val="24"/>
        </w:rPr>
        <w:t>1</w:t>
      </w:r>
      <w:r w:rsidRPr="007B6D27">
        <w:rPr>
          <w:rFonts w:ascii="Arial Narrow" w:eastAsia="Arial Unicode MS" w:hAnsi="Arial Narrow" w:cs="Arial Unicode MS"/>
          <w:color w:val="595959" w:themeColor="text1" w:themeTint="A6"/>
          <w:sz w:val="24"/>
          <w:szCs w:val="24"/>
          <w:vertAlign w:val="superscript"/>
        </w:rPr>
        <w:t>er</w:t>
      </w:r>
      <w:r>
        <w:rPr>
          <w:rFonts w:ascii="Arial Narrow" w:eastAsia="Arial Unicode MS" w:hAnsi="Arial Narrow" w:cs="Arial Unicode MS"/>
          <w:color w:val="595959" w:themeColor="text1" w:themeTint="A6"/>
          <w:sz w:val="24"/>
          <w:szCs w:val="24"/>
        </w:rPr>
        <w:t xml:space="preserve"> janvier </w:t>
      </w:r>
      <w:r w:rsidRPr="00250967">
        <w:rPr>
          <w:rFonts w:ascii="Arial Narrow" w:eastAsia="Arial Unicode MS" w:hAnsi="Arial Narrow" w:cs="Arial Unicode MS"/>
          <w:color w:val="595959" w:themeColor="text1" w:themeTint="A6"/>
          <w:sz w:val="24"/>
          <w:szCs w:val="24"/>
        </w:rPr>
        <w:t>202</w:t>
      </w:r>
      <w:r>
        <w:rPr>
          <w:rFonts w:ascii="Arial Narrow" w:eastAsia="Arial Unicode MS" w:hAnsi="Arial Narrow" w:cs="Arial Unicode MS"/>
          <w:color w:val="595959" w:themeColor="text1" w:themeTint="A6"/>
          <w:sz w:val="24"/>
          <w:szCs w:val="24"/>
        </w:rPr>
        <w:t>1</w:t>
      </w:r>
      <w:r w:rsidRPr="00250967">
        <w:rPr>
          <w:rFonts w:ascii="Arial Narrow" w:eastAsia="Arial Unicode MS" w:hAnsi="Arial Narrow" w:cs="Arial Unicode MS"/>
          <w:color w:val="595959" w:themeColor="text1" w:themeTint="A6"/>
          <w:sz w:val="24"/>
          <w:szCs w:val="24"/>
        </w:rPr>
        <w:t> ; cette durée correspond à la durée du crédit hypothécaire souscrit par les Parties pour l’achat de l’Immeuble.</w:t>
      </w:r>
    </w:p>
    <w:p w14:paraId="4E806CC4"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2FD96A8E"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Toutefois, cette durée initiale ne dépassera pas la durée dudit crédit hypothécaire. </w:t>
      </w:r>
    </w:p>
    <w:p w14:paraId="42D98AC6"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2EADA8D2"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Ainsi donc, en cas de remboursement anticipé total du crédit hypothécaire, la durée initiale s’achèvera. Il n’en ira toutefois pas ainsi si le remboursement anticipé intervient dans le cadre d’une opération de refinancement du crédit hypothécaire.  </w:t>
      </w:r>
    </w:p>
    <w:p w14:paraId="5732406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DDE8205"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Avant le terme de cette durée initiale, les Parties n’ont pas le droit de provoquer la liquidation de l’indivision les liant. </w:t>
      </w:r>
    </w:p>
    <w:p w14:paraId="1C2ECD4A"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A8650B2"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A l’arrivée du terme de la durée initiale, la présente Convention devient à durée indéterminée. </w:t>
      </w:r>
    </w:p>
    <w:p w14:paraId="1DD29B13"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3393FCA6" w14:textId="6F8D6CF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Chacune des Parties pourra y mettre fin, et donc provoquer la liquidation de l’indivision, moyennant la notification d’un préavis de </w:t>
      </w:r>
      <w:r>
        <w:rPr>
          <w:rFonts w:ascii="Arial Narrow" w:eastAsia="Arial Unicode MS" w:hAnsi="Arial Narrow" w:cs="Arial Unicode MS"/>
          <w:color w:val="595959" w:themeColor="text1" w:themeTint="A6"/>
          <w:sz w:val="24"/>
          <w:szCs w:val="24"/>
        </w:rPr>
        <w:t>neuf</w:t>
      </w:r>
      <w:r w:rsidRPr="00250967">
        <w:rPr>
          <w:rFonts w:ascii="Arial Narrow" w:eastAsia="Arial Unicode MS" w:hAnsi="Arial Narrow" w:cs="Arial Unicode MS"/>
          <w:color w:val="595959" w:themeColor="text1" w:themeTint="A6"/>
          <w:sz w:val="24"/>
          <w:szCs w:val="24"/>
        </w:rPr>
        <w:t xml:space="preserve"> mois. </w:t>
      </w:r>
    </w:p>
    <w:p w14:paraId="4F50307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261107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0C26685"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DROIT DE PRÉFÉRENCE</w:t>
      </w:r>
    </w:p>
    <w:p w14:paraId="6CE3F7B9"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0A35458"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14E7693F"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Chaque Partie (dénommée ici « la Partie Cédante ») peut céder sa part dans l’indivision à un tiers. </w:t>
      </w:r>
    </w:p>
    <w:p w14:paraId="0CBD4EFD"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558BE842" w14:textId="77777777" w:rsidR="00452922"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L’autre Partie (dénommée ici « la Partie Restante ») dispose toutefois d’un droit de préférence sur l’achat de la part cédée.</w:t>
      </w:r>
    </w:p>
    <w:p w14:paraId="735A11D7" w14:textId="77777777" w:rsidR="00452922"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616B4FCD"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Par suite, si la Partie Cédante décide de vendre sa part dans l’indivision, la Partie Restante pourra acquérir celle-ci par préférence à tout tiers, au prix qui sera déterminé par un expert. Il en ira ainsi, même si la Partie Cédante disposait d’une offre d’achat émanant d’un tiers pour un prix supérieur au prix déterminé par l’expert.</w:t>
      </w:r>
    </w:p>
    <w:p w14:paraId="6CE15E7C"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1CF2B449"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Ce droit</w:t>
      </w:r>
      <w:r>
        <w:rPr>
          <w:rFonts w:ascii="Arial Narrow" w:eastAsia="Arial Unicode MS" w:hAnsi="Arial Narrow" w:cs="Arial Unicode MS"/>
          <w:color w:val="595959" w:themeColor="text1" w:themeTint="A6"/>
          <w:sz w:val="24"/>
          <w:szCs w:val="24"/>
        </w:rPr>
        <w:t xml:space="preserve"> de préférence</w:t>
      </w:r>
      <w:r w:rsidRPr="00250967">
        <w:rPr>
          <w:rFonts w:ascii="Arial Narrow" w:eastAsia="Arial Unicode MS" w:hAnsi="Arial Narrow" w:cs="Arial Unicode MS"/>
          <w:color w:val="595959" w:themeColor="text1" w:themeTint="A6"/>
          <w:sz w:val="24"/>
          <w:szCs w:val="24"/>
        </w:rPr>
        <w:t xml:space="preserve"> s’exerce comme suit :</w:t>
      </w:r>
    </w:p>
    <w:p w14:paraId="25FB041A"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29D91A09" w14:textId="77777777" w:rsidR="00452922" w:rsidRPr="00250967"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 Partie Cédante notifie à la Partie Restante son intention de céder sa part dans l’indivision</w:t>
      </w:r>
      <w:r>
        <w:rPr>
          <w:rFonts w:ascii="Arial Narrow" w:eastAsia="Arial Unicode MS" w:hAnsi="Arial Narrow" w:cs="Arial Unicode MS"/>
          <w:color w:val="595959" w:themeColor="text1" w:themeTint="A6"/>
          <w:sz w:val="24"/>
          <w:szCs w:val="24"/>
        </w:rPr>
        <w:t>.</w:t>
      </w:r>
      <w:r w:rsidRPr="00250967">
        <w:rPr>
          <w:rFonts w:ascii="Arial Narrow" w:eastAsia="Arial Unicode MS" w:hAnsi="Arial Narrow" w:cs="Arial Unicode MS"/>
          <w:color w:val="595959" w:themeColor="text1" w:themeTint="A6"/>
          <w:sz w:val="24"/>
          <w:szCs w:val="24"/>
        </w:rPr>
        <w:t xml:space="preserve"> </w:t>
      </w:r>
    </w:p>
    <w:p w14:paraId="08C894C7" w14:textId="77777777" w:rsidR="00452922" w:rsidRPr="00250967" w:rsidRDefault="00452922" w:rsidP="00452922">
      <w:pPr>
        <w:pStyle w:val="Corpsdetexte"/>
        <w:kinsoku w:val="0"/>
        <w:overflowPunct w:val="0"/>
        <w:ind w:left="1069" w:right="87"/>
        <w:jc w:val="both"/>
        <w:rPr>
          <w:rFonts w:ascii="Arial Narrow" w:eastAsia="Arial Unicode MS" w:hAnsi="Arial Narrow" w:cs="Arial Unicode MS"/>
          <w:color w:val="595959" w:themeColor="text1" w:themeTint="A6"/>
          <w:sz w:val="24"/>
          <w:szCs w:val="24"/>
        </w:rPr>
      </w:pPr>
    </w:p>
    <w:p w14:paraId="1200510A" w14:textId="79B37B17" w:rsidR="00452922" w:rsidRPr="00250967"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À compter de la réception de la notification, la Partie Restante dispose d’un délai </w:t>
      </w:r>
      <w:r>
        <w:rPr>
          <w:rFonts w:ascii="Arial Narrow" w:eastAsia="Arial Unicode MS" w:hAnsi="Arial Narrow" w:cs="Arial Unicode MS"/>
          <w:color w:val="595959" w:themeColor="text1" w:themeTint="A6"/>
          <w:sz w:val="24"/>
          <w:szCs w:val="24"/>
        </w:rPr>
        <w:t xml:space="preserve">de deux </w:t>
      </w:r>
      <w:r w:rsidRPr="00250967">
        <w:rPr>
          <w:rFonts w:ascii="Arial Narrow" w:eastAsia="Arial Unicode MS" w:hAnsi="Arial Narrow" w:cs="Arial Unicode MS"/>
          <w:color w:val="595959" w:themeColor="text1" w:themeTint="A6"/>
          <w:sz w:val="24"/>
          <w:szCs w:val="24"/>
        </w:rPr>
        <w:t xml:space="preserve"> mois pour notifier ses intentions à la Partie Cédante : </w:t>
      </w:r>
    </w:p>
    <w:p w14:paraId="3131AFB2" w14:textId="77777777" w:rsidR="00452922" w:rsidRPr="00250967" w:rsidRDefault="00452922" w:rsidP="00452922">
      <w:pPr>
        <w:pStyle w:val="Paragraphedeliste"/>
        <w:rPr>
          <w:rFonts w:ascii="Arial Narrow" w:eastAsia="Arial Unicode MS" w:hAnsi="Arial Narrow" w:cs="Arial Unicode MS"/>
          <w:color w:val="595959" w:themeColor="text1" w:themeTint="A6"/>
        </w:rPr>
      </w:pPr>
    </w:p>
    <w:p w14:paraId="5A2E08F1"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Soit la Partie Restante notifie qu’elle envisage d’acquérir la part de la Partie Cédante. </w:t>
      </w:r>
    </w:p>
    <w:p w14:paraId="3319F81E" w14:textId="77777777" w:rsidR="00452922" w:rsidRPr="00250967" w:rsidRDefault="00452922" w:rsidP="00452922">
      <w:pPr>
        <w:pStyle w:val="Paragraphedeliste"/>
        <w:tabs>
          <w:tab w:val="left" w:pos="1418"/>
        </w:tabs>
        <w:ind w:left="1418" w:hanging="284"/>
        <w:rPr>
          <w:rFonts w:ascii="Arial Narrow" w:eastAsia="Arial Unicode MS" w:hAnsi="Arial Narrow" w:cs="Arial Unicode MS"/>
          <w:color w:val="595959" w:themeColor="text1" w:themeTint="A6"/>
        </w:rPr>
      </w:pPr>
    </w:p>
    <w:p w14:paraId="06506654" w14:textId="77777777" w:rsidR="00452922" w:rsidRPr="00250967" w:rsidRDefault="00452922" w:rsidP="00452922">
      <w:pPr>
        <w:pStyle w:val="Corpsdetexte"/>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ab/>
        <w:t xml:space="preserve">Dans ce cas, de commun accord, les Parties désignent un expert chargé de fixer la valeur de l’Immeuble. À défaut d’accord sur cette désignation, chaque Partie désignera son expert qui, ensemble désigneront, un troisième expert. Ces experts formeront un collège qui sera présidé par le troisième expert. Ils respecteront les principes d’indépendance et du contradictoire. </w:t>
      </w:r>
    </w:p>
    <w:p w14:paraId="5572464F" w14:textId="77777777" w:rsidR="00452922" w:rsidRPr="00250967" w:rsidRDefault="00452922" w:rsidP="00452922">
      <w:pPr>
        <w:pStyle w:val="Corpsdetexte"/>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p>
    <w:p w14:paraId="1C001B78" w14:textId="77777777" w:rsidR="00452922" w:rsidRPr="00250967" w:rsidRDefault="00452922" w:rsidP="00452922">
      <w:pPr>
        <w:pStyle w:val="Corpsdetexte"/>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ab/>
        <w:t>Le prix de cession de la part de la copropriété cédée sera égal à 50 % de la valeur ainsi déterminée, sans qu’il soit tenu compte d’une décote d’</w:t>
      </w:r>
      <w:proofErr w:type="spellStart"/>
      <w:r w:rsidRPr="00250967">
        <w:rPr>
          <w:rFonts w:ascii="Arial Narrow" w:eastAsia="Arial Unicode MS" w:hAnsi="Arial Narrow" w:cs="Arial Unicode MS"/>
          <w:color w:val="595959" w:themeColor="text1" w:themeTint="A6"/>
          <w:sz w:val="24"/>
          <w:szCs w:val="24"/>
        </w:rPr>
        <w:t>illiquidité</w:t>
      </w:r>
      <w:proofErr w:type="spellEnd"/>
      <w:r w:rsidRPr="00250967">
        <w:rPr>
          <w:rFonts w:ascii="Arial Narrow" w:eastAsia="Arial Unicode MS" w:hAnsi="Arial Narrow" w:cs="Arial Unicode MS"/>
          <w:color w:val="595959" w:themeColor="text1" w:themeTint="A6"/>
          <w:sz w:val="24"/>
          <w:szCs w:val="24"/>
        </w:rPr>
        <w:t xml:space="preserve">. </w:t>
      </w:r>
    </w:p>
    <w:p w14:paraId="4B2A8B1B" w14:textId="77777777" w:rsidR="00452922" w:rsidRPr="00250967" w:rsidRDefault="00452922" w:rsidP="00452922">
      <w:pPr>
        <w:pStyle w:val="Corpsdetexte"/>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p>
    <w:p w14:paraId="3A2773B5" w14:textId="77777777" w:rsidR="00452922" w:rsidRPr="00250967" w:rsidRDefault="00452922" w:rsidP="00452922">
      <w:pPr>
        <w:pStyle w:val="Corpsdetexte"/>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ab/>
        <w:t xml:space="preserve">Dans le mois suivant la communication du rapport final d’expertise, </w:t>
      </w:r>
    </w:p>
    <w:p w14:paraId="168ECBFC" w14:textId="77777777" w:rsidR="00452922" w:rsidRPr="00250967" w:rsidRDefault="00452922" w:rsidP="00452922">
      <w:pPr>
        <w:pStyle w:val="Corpsdetexte"/>
        <w:kinsoku w:val="0"/>
        <w:overflowPunct w:val="0"/>
        <w:ind w:left="1418" w:right="87"/>
        <w:jc w:val="both"/>
        <w:rPr>
          <w:rFonts w:ascii="Arial Narrow" w:eastAsia="Arial Unicode MS" w:hAnsi="Arial Narrow" w:cs="Arial Unicode MS"/>
          <w:color w:val="595959" w:themeColor="text1" w:themeTint="A6"/>
          <w:sz w:val="24"/>
          <w:szCs w:val="24"/>
        </w:rPr>
      </w:pPr>
    </w:p>
    <w:p w14:paraId="7F34453B" w14:textId="77777777" w:rsidR="00452922" w:rsidRPr="00250967" w:rsidRDefault="00452922" w:rsidP="00452922">
      <w:pPr>
        <w:pStyle w:val="Corpsdetexte"/>
        <w:numPr>
          <w:ilvl w:val="2"/>
          <w:numId w:val="13"/>
        </w:numPr>
        <w:kinsoku w:val="0"/>
        <w:overflowPunct w:val="0"/>
        <w:ind w:left="1701" w:right="87" w:hanging="28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Soit la Partie Cédante notifie à la Partie Restante qu’elle renonce à la vente ; la vente n’est alors pas conclue ;</w:t>
      </w:r>
    </w:p>
    <w:p w14:paraId="1350DB9A" w14:textId="77777777" w:rsidR="00452922" w:rsidRPr="00250967" w:rsidRDefault="00452922" w:rsidP="00452922">
      <w:pPr>
        <w:pStyle w:val="Corpsdetexte"/>
        <w:kinsoku w:val="0"/>
        <w:overflowPunct w:val="0"/>
        <w:ind w:left="1701" w:right="87" w:hanging="283"/>
        <w:jc w:val="both"/>
        <w:rPr>
          <w:rFonts w:ascii="Arial Narrow" w:eastAsia="Arial Unicode MS" w:hAnsi="Arial Narrow" w:cs="Arial Unicode MS"/>
          <w:color w:val="595959" w:themeColor="text1" w:themeTint="A6"/>
          <w:sz w:val="24"/>
          <w:szCs w:val="24"/>
        </w:rPr>
      </w:pPr>
    </w:p>
    <w:p w14:paraId="20055D77" w14:textId="77777777" w:rsidR="00452922" w:rsidRPr="00250967" w:rsidRDefault="00452922" w:rsidP="00452922">
      <w:pPr>
        <w:pStyle w:val="Corpsdetexte"/>
        <w:numPr>
          <w:ilvl w:val="2"/>
          <w:numId w:val="13"/>
        </w:numPr>
        <w:kinsoku w:val="0"/>
        <w:overflowPunct w:val="0"/>
        <w:ind w:left="1701" w:right="87" w:hanging="28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Soit la Partie Restante notifie à la Partie Cédante qu’elle renonce à l’achat ; la vente n’est alors pas conclue et la Partie Restante perd son droit de préférence pour une durée de six mois ;</w:t>
      </w:r>
    </w:p>
    <w:p w14:paraId="08DF72C1" w14:textId="77777777" w:rsidR="00452922" w:rsidRPr="00250967" w:rsidRDefault="00452922" w:rsidP="00452922">
      <w:pPr>
        <w:ind w:left="1701" w:hanging="283"/>
        <w:rPr>
          <w:rFonts w:ascii="Arial Narrow" w:eastAsia="Arial Unicode MS" w:hAnsi="Arial Narrow" w:cs="Arial Unicode MS"/>
          <w:color w:val="595959" w:themeColor="text1" w:themeTint="A6"/>
        </w:rPr>
      </w:pPr>
    </w:p>
    <w:p w14:paraId="7F420564" w14:textId="77777777" w:rsidR="00452922" w:rsidRPr="00250967" w:rsidRDefault="00452922" w:rsidP="00452922">
      <w:pPr>
        <w:pStyle w:val="Corpsdetexte"/>
        <w:numPr>
          <w:ilvl w:val="2"/>
          <w:numId w:val="13"/>
        </w:numPr>
        <w:kinsoku w:val="0"/>
        <w:overflowPunct w:val="0"/>
        <w:ind w:left="1701" w:right="87" w:hanging="28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Soit la Partie Restante notifie à la Partie Cédante qu’elle achète sa part dans la copropriété au prix fixé, sous condition suspensive d’obtention d’un crédit dans le mois</w:t>
      </w:r>
      <w:r>
        <w:rPr>
          <w:rStyle w:val="Appelnotedebasdep"/>
          <w:rFonts w:ascii="Arial Narrow" w:eastAsia="Arial Unicode MS" w:hAnsi="Arial Narrow" w:cs="Arial Unicode MS"/>
          <w:color w:val="595959" w:themeColor="text1" w:themeTint="A6"/>
          <w:sz w:val="24"/>
          <w:szCs w:val="24"/>
        </w:rPr>
        <w:footnoteReference w:id="1"/>
      </w:r>
      <w:r w:rsidRPr="00250967">
        <w:rPr>
          <w:rFonts w:ascii="Arial Narrow" w:eastAsia="Arial Unicode MS" w:hAnsi="Arial Narrow" w:cs="Arial Unicode MS"/>
          <w:color w:val="595959" w:themeColor="text1" w:themeTint="A6"/>
          <w:sz w:val="24"/>
          <w:szCs w:val="24"/>
        </w:rPr>
        <w:t xml:space="preserve"> ; </w:t>
      </w:r>
      <w:r w:rsidRPr="00250967">
        <w:rPr>
          <w:rFonts w:ascii="Arial Narrow" w:eastAsia="Arial Unicode MS" w:hAnsi="Arial Narrow" w:cs="Arial Unicode MS"/>
          <w:color w:val="595959" w:themeColor="text1" w:themeTint="A6"/>
          <w:sz w:val="24"/>
          <w:szCs w:val="24"/>
        </w:rPr>
        <w:lastRenderedPageBreak/>
        <w:t>si la condition ne se réalise pas, la vente n’est alors pas conclue et la Partie Restante perd son droit de préférence pour une durée de six mois ;</w:t>
      </w:r>
    </w:p>
    <w:p w14:paraId="22D5BEC6" w14:textId="77777777" w:rsidR="00452922" w:rsidRPr="00250967" w:rsidRDefault="00452922" w:rsidP="00452922">
      <w:pPr>
        <w:pStyle w:val="Paragraphedeliste"/>
        <w:ind w:left="1701" w:hanging="283"/>
        <w:rPr>
          <w:rFonts w:ascii="Arial Narrow" w:eastAsia="Arial Unicode MS" w:hAnsi="Arial Narrow" w:cs="Arial Unicode MS"/>
          <w:color w:val="595959" w:themeColor="text1" w:themeTint="A6"/>
        </w:rPr>
      </w:pPr>
    </w:p>
    <w:p w14:paraId="7D0465B4" w14:textId="77777777" w:rsidR="00452922" w:rsidRPr="00250967" w:rsidRDefault="00452922" w:rsidP="00452922">
      <w:pPr>
        <w:pStyle w:val="Corpsdetexte"/>
        <w:numPr>
          <w:ilvl w:val="2"/>
          <w:numId w:val="13"/>
        </w:numPr>
        <w:kinsoku w:val="0"/>
        <w:overflowPunct w:val="0"/>
        <w:ind w:left="1701" w:right="87" w:hanging="28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Soit la Partie Restante notifie à la Partie Cédante qu’elle achète sa part dans la copropriété, mais à un autre prix ou à d’autres conditions ; la vente n’est alors pas conclue et la Partie Restante perd son droit de préférence pour une durée de six mois ;</w:t>
      </w:r>
    </w:p>
    <w:p w14:paraId="2CBE97F0" w14:textId="77777777" w:rsidR="00452922" w:rsidRPr="00250967" w:rsidRDefault="00452922" w:rsidP="00452922">
      <w:pPr>
        <w:ind w:left="1701" w:hanging="283"/>
        <w:rPr>
          <w:rFonts w:ascii="Arial Narrow" w:eastAsia="Arial Unicode MS" w:hAnsi="Arial Narrow" w:cs="Arial Unicode MS"/>
          <w:color w:val="595959" w:themeColor="text1" w:themeTint="A6"/>
        </w:rPr>
      </w:pPr>
    </w:p>
    <w:p w14:paraId="26D79B3F" w14:textId="77777777" w:rsidR="00452922" w:rsidRPr="00426895" w:rsidRDefault="00452922" w:rsidP="00452922">
      <w:pPr>
        <w:pStyle w:val="Corpsdetexte"/>
        <w:numPr>
          <w:ilvl w:val="2"/>
          <w:numId w:val="13"/>
        </w:numPr>
        <w:kinsoku w:val="0"/>
        <w:overflowPunct w:val="0"/>
        <w:ind w:left="1701" w:right="87" w:hanging="283"/>
        <w:jc w:val="both"/>
        <w:rPr>
          <w:rFonts w:ascii="Arial Narrow" w:eastAsia="Arial Unicode MS" w:hAnsi="Arial Narrow" w:cs="Arial Unicode MS"/>
          <w:color w:val="595959" w:themeColor="text1" w:themeTint="A6"/>
          <w:sz w:val="24"/>
          <w:szCs w:val="24"/>
        </w:rPr>
      </w:pPr>
      <w:r w:rsidRPr="00426895">
        <w:rPr>
          <w:rFonts w:ascii="Arial Narrow" w:eastAsia="Arial Unicode MS" w:hAnsi="Arial Narrow" w:cs="Arial Unicode MS"/>
          <w:color w:val="595959" w:themeColor="text1" w:themeTint="A6"/>
          <w:sz w:val="24"/>
          <w:szCs w:val="24"/>
        </w:rPr>
        <w:t>Soit la Partie Restante ne réagit pas ; la vente n’est alors pas conclue et la Partie Restante perd son droit de préférence pour une durée de six mois ;</w:t>
      </w:r>
    </w:p>
    <w:p w14:paraId="0DC821DD" w14:textId="77777777" w:rsidR="00452922" w:rsidRPr="00426895" w:rsidRDefault="00452922" w:rsidP="00452922"/>
    <w:p w14:paraId="51C7E251"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Soit la Partie Restante ne réagit pas ou notifie qu’elle n’envisage pas acquérir la part de la Partie Cédante.</w:t>
      </w:r>
    </w:p>
    <w:p w14:paraId="7C421EC1"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p>
    <w:p w14:paraId="0FA2D072"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Dans ce cas, pendant un délai de six mois prenant court au moment de la notification par la Partie Cédante de son intention de vendre sa part, la Partie Restante perd son droit de préférence.</w:t>
      </w:r>
    </w:p>
    <w:p w14:paraId="7423627A"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C85E3F3"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 droit de préférence n’est pas applicable en cas de cession par une Partie de sa part de copropriété à une société dont il serait l’actionnaire de référence.</w:t>
      </w:r>
    </w:p>
    <w:p w14:paraId="07869E0C"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269F1BF" w14:textId="77777777" w:rsidR="00452922" w:rsidRPr="00250967" w:rsidRDefault="00452922" w:rsidP="00452922">
      <w:pPr>
        <w:pStyle w:val="Corpsdetexte"/>
        <w:kinsoku w:val="0"/>
        <w:overflowPunct w:val="0"/>
        <w:ind w:left="1701" w:right="87"/>
        <w:jc w:val="both"/>
        <w:rPr>
          <w:rFonts w:ascii="Arial Narrow" w:eastAsia="Arial Unicode MS" w:hAnsi="Arial Narrow" w:cs="Arial Unicode MS"/>
          <w:color w:val="595959" w:themeColor="text1" w:themeTint="A6"/>
          <w:sz w:val="24"/>
          <w:szCs w:val="24"/>
        </w:rPr>
      </w:pPr>
    </w:p>
    <w:p w14:paraId="456C1FDA"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DROIT D’AGRÉMENT</w:t>
      </w:r>
    </w:p>
    <w:p w14:paraId="600EC483" w14:textId="77777777" w:rsidR="00452922" w:rsidRPr="00250967" w:rsidRDefault="00452922" w:rsidP="00452922">
      <w:pPr>
        <w:pStyle w:val="Corpsdetexte"/>
        <w:kinsoku w:val="0"/>
        <w:overflowPunct w:val="0"/>
        <w:ind w:left="1701" w:right="87"/>
        <w:jc w:val="both"/>
        <w:rPr>
          <w:rFonts w:ascii="Arial Narrow" w:eastAsia="Arial Unicode MS" w:hAnsi="Arial Narrow" w:cs="Arial Unicode MS"/>
          <w:color w:val="595959" w:themeColor="text1" w:themeTint="A6"/>
          <w:sz w:val="24"/>
          <w:szCs w:val="24"/>
        </w:rPr>
      </w:pPr>
    </w:p>
    <w:p w14:paraId="3195B905" w14:textId="77777777" w:rsidR="00452922" w:rsidRPr="00250967" w:rsidRDefault="00452922" w:rsidP="00452922">
      <w:pPr>
        <w:pStyle w:val="Corpsdetexte"/>
        <w:kinsoku w:val="0"/>
        <w:overflowPunct w:val="0"/>
        <w:ind w:left="1701" w:right="87"/>
        <w:jc w:val="both"/>
        <w:rPr>
          <w:rFonts w:ascii="Arial Narrow" w:eastAsia="Arial Unicode MS" w:hAnsi="Arial Narrow" w:cs="Arial Unicode MS"/>
          <w:color w:val="595959" w:themeColor="text1" w:themeTint="A6"/>
          <w:sz w:val="24"/>
          <w:szCs w:val="24"/>
        </w:rPr>
      </w:pPr>
    </w:p>
    <w:p w14:paraId="57E7D014"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En cas vente de sa part de copropriété par une Partie, l’autre Partie dispose d’un droit d’agrément du tiers acquéreur. La vente au tiers acquéreur sera donc conclue sous la condition suspensive de l’agrément tiers acquéreur par la Partie Restante.</w:t>
      </w:r>
    </w:p>
    <w:p w14:paraId="7326723E"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24F9B2B4"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Ce droit sera exercé de manière discrétionnaire, mais non arbitraire, par la Partie Restante. </w:t>
      </w:r>
    </w:p>
    <w:p w14:paraId="1A4978BD"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p>
    <w:p w14:paraId="0FA999DE" w14:textId="77777777" w:rsidR="00452922" w:rsidRPr="00250967" w:rsidRDefault="00452922" w:rsidP="00452922">
      <w:pPr>
        <w:pStyle w:val="Corpsdetexte"/>
        <w:kinsoku w:val="0"/>
        <w:overflowPunct w:val="0"/>
        <w:ind w:left="709"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Il en va de même, mutatis mutandis, en cas de location par une Partie de sa part de copropriété à un tiers.</w:t>
      </w:r>
    </w:p>
    <w:p w14:paraId="78809DC1"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930F995"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 droit de d’agrément n’est pas applicable en cas de cession par une Partie de sa part de copropriété à une société dont il serait l’actionnaire de référence.</w:t>
      </w:r>
    </w:p>
    <w:p w14:paraId="66E3CEB9"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C7E8A50"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2D8D099D"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TRANSFERT DE DROITS ET OBLIGATIONS</w:t>
      </w:r>
    </w:p>
    <w:p w14:paraId="16B68AC1"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3F5C2DC"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6416D54"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En cas cession de sa part de copropriété par une Partie, le cédant veillera à ce que ses droits et obligations tels qu’ils résultent de la présente convention soient transférés au tiers acquéreur.</w:t>
      </w:r>
    </w:p>
    <w:p w14:paraId="070C0FA7"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4C12EDD"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22FD324" w14:textId="0E315B46"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DÉCÈS D’UNE PARTIE</w:t>
      </w:r>
      <w:r>
        <w:rPr>
          <w:rFonts w:ascii="Arial Narrow" w:eastAsia="Arial Unicode MS" w:hAnsi="Arial Narrow" w:cs="Arial Unicode MS"/>
          <w:b/>
          <w:color w:val="595959" w:themeColor="text1" w:themeTint="A6"/>
          <w:sz w:val="24"/>
          <w:szCs w:val="24"/>
        </w:rPr>
        <w:t xml:space="preserve"> – DROIT DE PR</w:t>
      </w:r>
      <w:r w:rsidR="00C43D88">
        <w:rPr>
          <w:rFonts w:ascii="Arial Narrow" w:eastAsia="Arial Unicode MS" w:hAnsi="Arial Narrow" w:cs="Arial Unicode MS"/>
          <w:b/>
          <w:color w:val="595959" w:themeColor="text1" w:themeTint="A6"/>
          <w:sz w:val="24"/>
          <w:szCs w:val="24"/>
        </w:rPr>
        <w:t>É</w:t>
      </w:r>
      <w:r>
        <w:rPr>
          <w:rFonts w:ascii="Arial Narrow" w:eastAsia="Arial Unicode MS" w:hAnsi="Arial Narrow" w:cs="Arial Unicode MS"/>
          <w:b/>
          <w:color w:val="595959" w:themeColor="text1" w:themeTint="A6"/>
          <w:sz w:val="24"/>
          <w:szCs w:val="24"/>
        </w:rPr>
        <w:t>EMPTION</w:t>
      </w:r>
    </w:p>
    <w:p w14:paraId="6FC3D37B"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469519DB"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610DD048" w14:textId="7617D432"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Le décès d’une Partie ne met pas fin à la Présente Convention ; les ayants droit du défunt viendront aux droits et obligations de celui-ci.</w:t>
      </w:r>
    </w:p>
    <w:p w14:paraId="69FC3F4F" w14:textId="77777777" w:rsidR="00452922"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D159BC9" w14:textId="16874E85" w:rsidR="00452922"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Toutefois, si les ayants droit décident de vendre leur part de copropriété dans l’Immeuble à un tiers, la Partie survivante bénéficiera d’un droit de préemption.</w:t>
      </w:r>
    </w:p>
    <w:p w14:paraId="11061895" w14:textId="77777777" w:rsidR="00452922"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1E9C633" w14:textId="77777777" w:rsidR="00452922" w:rsidRPr="00250967" w:rsidRDefault="00452922" w:rsidP="00452922">
      <w:pPr>
        <w:pStyle w:val="Corpsdetexte"/>
        <w:kinsoku w:val="0"/>
        <w:overflowPunct w:val="0"/>
        <w:ind w:left="709" w:right="87"/>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Ce droit</w:t>
      </w:r>
      <w:r>
        <w:rPr>
          <w:rFonts w:ascii="Arial Narrow" w:eastAsia="Arial Unicode MS" w:hAnsi="Arial Narrow" w:cs="Arial Unicode MS"/>
          <w:color w:val="595959" w:themeColor="text1" w:themeTint="A6"/>
          <w:sz w:val="24"/>
          <w:szCs w:val="24"/>
        </w:rPr>
        <w:t xml:space="preserve"> de préemption</w:t>
      </w:r>
      <w:r w:rsidRPr="00250967">
        <w:rPr>
          <w:rFonts w:ascii="Arial Narrow" w:eastAsia="Arial Unicode MS" w:hAnsi="Arial Narrow" w:cs="Arial Unicode MS"/>
          <w:color w:val="595959" w:themeColor="text1" w:themeTint="A6"/>
          <w:sz w:val="24"/>
          <w:szCs w:val="24"/>
        </w:rPr>
        <w:t xml:space="preserve"> s’exerce</w:t>
      </w:r>
      <w:r>
        <w:rPr>
          <w:rFonts w:ascii="Arial Narrow" w:eastAsia="Arial Unicode MS" w:hAnsi="Arial Narrow" w:cs="Arial Unicode MS"/>
          <w:color w:val="595959" w:themeColor="text1" w:themeTint="A6"/>
          <w:sz w:val="24"/>
          <w:szCs w:val="24"/>
        </w:rPr>
        <w:t>ra</w:t>
      </w:r>
      <w:r w:rsidRPr="00250967">
        <w:rPr>
          <w:rFonts w:ascii="Arial Narrow" w:eastAsia="Arial Unicode MS" w:hAnsi="Arial Narrow" w:cs="Arial Unicode MS"/>
          <w:color w:val="595959" w:themeColor="text1" w:themeTint="A6"/>
          <w:sz w:val="24"/>
          <w:szCs w:val="24"/>
        </w:rPr>
        <w:t xml:space="preserve"> comme suit :</w:t>
      </w:r>
    </w:p>
    <w:p w14:paraId="70656399" w14:textId="77777777" w:rsidR="00452922" w:rsidRPr="00250967" w:rsidRDefault="00452922" w:rsidP="00452922">
      <w:pPr>
        <w:pStyle w:val="Corpsdetexte"/>
        <w:kinsoku w:val="0"/>
        <w:overflowPunct w:val="0"/>
        <w:ind w:left="0" w:right="87"/>
        <w:rPr>
          <w:rFonts w:ascii="Arial Narrow" w:eastAsia="Arial Unicode MS" w:hAnsi="Arial Narrow" w:cs="Arial Unicode MS"/>
          <w:color w:val="595959" w:themeColor="text1" w:themeTint="A6"/>
          <w:sz w:val="24"/>
          <w:szCs w:val="24"/>
        </w:rPr>
      </w:pPr>
    </w:p>
    <w:p w14:paraId="7CAAD2F3" w14:textId="5FDBFFBC" w:rsidR="00452922"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Les ayant-droits vendront leur part de copropriété à un tiers-acquéreur sous la condition suspensive du non</w:t>
      </w:r>
      <w:r w:rsidR="00C43D88">
        <w:rPr>
          <w:rFonts w:ascii="Arial Narrow" w:eastAsia="Arial Unicode MS" w:hAnsi="Arial Narrow" w:cs="Arial Unicode MS"/>
          <w:color w:val="595959" w:themeColor="text1" w:themeTint="A6"/>
          <w:sz w:val="24"/>
          <w:szCs w:val="24"/>
        </w:rPr>
        <w:t>-</w:t>
      </w:r>
      <w:r>
        <w:rPr>
          <w:rFonts w:ascii="Arial Narrow" w:eastAsia="Arial Unicode MS" w:hAnsi="Arial Narrow" w:cs="Arial Unicode MS"/>
          <w:color w:val="595959" w:themeColor="text1" w:themeTint="A6"/>
          <w:sz w:val="24"/>
          <w:szCs w:val="24"/>
        </w:rPr>
        <w:t>exercice de son droit de préemption par</w:t>
      </w:r>
      <w:r w:rsidRPr="00250967">
        <w:rPr>
          <w:rFonts w:ascii="Arial Narrow" w:eastAsia="Arial Unicode MS" w:hAnsi="Arial Narrow" w:cs="Arial Unicode MS"/>
          <w:color w:val="595959" w:themeColor="text1" w:themeTint="A6"/>
          <w:sz w:val="24"/>
          <w:szCs w:val="24"/>
        </w:rPr>
        <w:t xml:space="preserve"> la Partie survivante</w:t>
      </w:r>
      <w:r>
        <w:rPr>
          <w:rFonts w:ascii="Arial Narrow" w:eastAsia="Arial Unicode MS" w:hAnsi="Arial Narrow" w:cs="Arial Unicode MS"/>
          <w:color w:val="595959" w:themeColor="text1" w:themeTint="A6"/>
          <w:sz w:val="24"/>
          <w:szCs w:val="24"/>
        </w:rPr>
        <w:t>.</w:t>
      </w:r>
    </w:p>
    <w:p w14:paraId="406BA38C" w14:textId="77777777" w:rsidR="00452922" w:rsidRDefault="00452922" w:rsidP="00452922">
      <w:pPr>
        <w:pStyle w:val="Corpsdetexte"/>
        <w:kinsoku w:val="0"/>
        <w:overflowPunct w:val="0"/>
        <w:ind w:left="1069" w:right="87"/>
        <w:rPr>
          <w:rFonts w:ascii="Arial Narrow" w:eastAsia="Arial Unicode MS" w:hAnsi="Arial Narrow" w:cs="Arial Unicode MS"/>
          <w:color w:val="595959" w:themeColor="text1" w:themeTint="A6"/>
          <w:sz w:val="24"/>
          <w:szCs w:val="24"/>
        </w:rPr>
      </w:pPr>
    </w:p>
    <w:p w14:paraId="7C6E01A8" w14:textId="15EEAAB6" w:rsidR="00452922"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Sans délai, les ayants</w:t>
      </w:r>
      <w:r w:rsidR="00C43D88">
        <w:rPr>
          <w:rFonts w:ascii="Arial Narrow" w:eastAsia="Arial Unicode MS" w:hAnsi="Arial Narrow" w:cs="Arial Unicode MS"/>
          <w:color w:val="595959" w:themeColor="text1" w:themeTint="A6"/>
          <w:sz w:val="24"/>
          <w:szCs w:val="24"/>
        </w:rPr>
        <w:t xml:space="preserve"> droit</w:t>
      </w:r>
      <w:r>
        <w:rPr>
          <w:rFonts w:ascii="Arial Narrow" w:eastAsia="Arial Unicode MS" w:hAnsi="Arial Narrow" w:cs="Arial Unicode MS"/>
          <w:color w:val="595959" w:themeColor="text1" w:themeTint="A6"/>
          <w:sz w:val="24"/>
          <w:szCs w:val="24"/>
        </w:rPr>
        <w:t xml:space="preserve"> </w:t>
      </w:r>
      <w:r w:rsidRPr="00250967">
        <w:rPr>
          <w:rFonts w:ascii="Arial Narrow" w:eastAsia="Arial Unicode MS" w:hAnsi="Arial Narrow" w:cs="Arial Unicode MS"/>
          <w:color w:val="595959" w:themeColor="text1" w:themeTint="A6"/>
          <w:sz w:val="24"/>
          <w:szCs w:val="24"/>
        </w:rPr>
        <w:t>notifier</w:t>
      </w:r>
      <w:r>
        <w:rPr>
          <w:rFonts w:ascii="Arial Narrow" w:eastAsia="Arial Unicode MS" w:hAnsi="Arial Narrow" w:cs="Arial Unicode MS"/>
          <w:color w:val="595959" w:themeColor="text1" w:themeTint="A6"/>
          <w:sz w:val="24"/>
          <w:szCs w:val="24"/>
        </w:rPr>
        <w:t>ont cette vente à la Partie survivante en y joignant le compromis de vente sous condition suspensive.</w:t>
      </w:r>
    </w:p>
    <w:p w14:paraId="23427508" w14:textId="77777777" w:rsidR="00452922" w:rsidRDefault="00452922" w:rsidP="00452922">
      <w:pPr>
        <w:pStyle w:val="Paragraphedeliste"/>
        <w:rPr>
          <w:rFonts w:ascii="Arial Narrow" w:eastAsia="Arial Unicode MS" w:hAnsi="Arial Narrow" w:cs="Arial Unicode MS"/>
          <w:color w:val="595959" w:themeColor="text1" w:themeTint="A6"/>
        </w:rPr>
      </w:pPr>
    </w:p>
    <w:p w14:paraId="47907611" w14:textId="0017D2AD" w:rsidR="00452922"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Dans les deux mois de cette notification, la Partie survivante pourra exercer son droit de préemption en le notifiant aux ayants</w:t>
      </w:r>
      <w:r w:rsidR="00C43D88">
        <w:rPr>
          <w:rFonts w:ascii="Arial Narrow" w:eastAsia="Arial Unicode MS" w:hAnsi="Arial Narrow" w:cs="Arial Unicode MS"/>
          <w:color w:val="595959" w:themeColor="text1" w:themeTint="A6"/>
          <w:sz w:val="24"/>
          <w:szCs w:val="24"/>
        </w:rPr>
        <w:t xml:space="preserve"> </w:t>
      </w:r>
      <w:r>
        <w:rPr>
          <w:rFonts w:ascii="Arial Narrow" w:eastAsia="Arial Unicode MS" w:hAnsi="Arial Narrow" w:cs="Arial Unicode MS"/>
          <w:color w:val="595959" w:themeColor="text1" w:themeTint="A6"/>
          <w:sz w:val="24"/>
          <w:szCs w:val="24"/>
        </w:rPr>
        <w:t xml:space="preserve">droit. </w:t>
      </w:r>
    </w:p>
    <w:p w14:paraId="0C0E52EE" w14:textId="77777777" w:rsidR="00452922" w:rsidRDefault="00452922" w:rsidP="00452922">
      <w:pPr>
        <w:pStyle w:val="Paragraphedeliste"/>
        <w:rPr>
          <w:rFonts w:ascii="Arial Narrow" w:eastAsia="Arial Unicode MS" w:hAnsi="Arial Narrow" w:cs="Arial Unicode MS"/>
          <w:color w:val="595959" w:themeColor="text1" w:themeTint="A6"/>
        </w:rPr>
      </w:pPr>
    </w:p>
    <w:p w14:paraId="1C902564" w14:textId="2CF9E00F" w:rsidR="00452922" w:rsidRDefault="00C43D88" w:rsidP="00452922">
      <w:pPr>
        <w:pStyle w:val="Corpsdetexte"/>
        <w:kinsoku w:val="0"/>
        <w:overflowPunct w:val="0"/>
        <w:ind w:left="1069" w:right="87"/>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À</w:t>
      </w:r>
      <w:r w:rsidR="00452922">
        <w:rPr>
          <w:rFonts w:ascii="Arial Narrow" w:eastAsia="Arial Unicode MS" w:hAnsi="Arial Narrow" w:cs="Arial Unicode MS"/>
          <w:color w:val="595959" w:themeColor="text1" w:themeTint="A6"/>
          <w:sz w:val="24"/>
          <w:szCs w:val="24"/>
        </w:rPr>
        <w:t xml:space="preserve"> défaut de notification de l’exercice du droit de préemption ou en cas de notification tardive, ce droit sera perdu et inopérant.</w:t>
      </w:r>
    </w:p>
    <w:p w14:paraId="60F73841" w14:textId="77777777" w:rsidR="00452922" w:rsidRDefault="00452922" w:rsidP="00452922">
      <w:pPr>
        <w:pStyle w:val="Paragraphedeliste"/>
        <w:rPr>
          <w:rFonts w:ascii="Arial Narrow" w:eastAsia="Arial Unicode MS" w:hAnsi="Arial Narrow" w:cs="Arial Unicode MS"/>
          <w:color w:val="595959" w:themeColor="text1" w:themeTint="A6"/>
        </w:rPr>
      </w:pPr>
    </w:p>
    <w:p w14:paraId="07360808" w14:textId="3ABCE3E8" w:rsidR="00452922" w:rsidRDefault="00452922" w:rsidP="00452922">
      <w:pPr>
        <w:pStyle w:val="Corpsdetexte"/>
        <w:kinsoku w:val="0"/>
        <w:overflowPunct w:val="0"/>
        <w:ind w:left="1069" w:right="87"/>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Si la Partie survivante ne pourra exercer son droit de préemption qu’aux mêmes conditions et modalités que celles fixées entre les ayants</w:t>
      </w:r>
      <w:r w:rsidR="00C43D88">
        <w:rPr>
          <w:rFonts w:ascii="Arial Narrow" w:eastAsia="Arial Unicode MS" w:hAnsi="Arial Narrow" w:cs="Arial Unicode MS"/>
          <w:color w:val="595959" w:themeColor="text1" w:themeTint="A6"/>
          <w:sz w:val="24"/>
          <w:szCs w:val="24"/>
        </w:rPr>
        <w:t xml:space="preserve"> </w:t>
      </w:r>
      <w:r>
        <w:rPr>
          <w:rFonts w:ascii="Arial Narrow" w:eastAsia="Arial Unicode MS" w:hAnsi="Arial Narrow" w:cs="Arial Unicode MS"/>
          <w:color w:val="595959" w:themeColor="text1" w:themeTint="A6"/>
          <w:sz w:val="24"/>
          <w:szCs w:val="24"/>
        </w:rPr>
        <w:t>droit et le tiers-acquéreur. A défaut, le droit sera perdu et inopérant. Il en ira toutefois autrement s’agissant de la date de la vente ; la vente sera réputée être conclue non pas au moment de la signature du compromis de vente entre les ayants</w:t>
      </w:r>
      <w:r w:rsidR="00C43D88">
        <w:rPr>
          <w:rFonts w:ascii="Arial Narrow" w:eastAsia="Arial Unicode MS" w:hAnsi="Arial Narrow" w:cs="Arial Unicode MS"/>
          <w:color w:val="595959" w:themeColor="text1" w:themeTint="A6"/>
          <w:sz w:val="24"/>
          <w:szCs w:val="24"/>
        </w:rPr>
        <w:t xml:space="preserve"> </w:t>
      </w:r>
      <w:r>
        <w:rPr>
          <w:rFonts w:ascii="Arial Narrow" w:eastAsia="Arial Unicode MS" w:hAnsi="Arial Narrow" w:cs="Arial Unicode MS"/>
          <w:color w:val="595959" w:themeColor="text1" w:themeTint="A6"/>
          <w:sz w:val="24"/>
          <w:szCs w:val="24"/>
        </w:rPr>
        <w:t>droit et le tiers-acquéreur, mais au moment de la notification par la Partie survivante aux ayants</w:t>
      </w:r>
      <w:r w:rsidR="00C43D88">
        <w:rPr>
          <w:rFonts w:ascii="Arial Narrow" w:eastAsia="Arial Unicode MS" w:hAnsi="Arial Narrow" w:cs="Arial Unicode MS"/>
          <w:color w:val="595959" w:themeColor="text1" w:themeTint="A6"/>
          <w:sz w:val="24"/>
          <w:szCs w:val="24"/>
        </w:rPr>
        <w:t xml:space="preserve"> </w:t>
      </w:r>
      <w:r>
        <w:rPr>
          <w:rFonts w:ascii="Arial Narrow" w:eastAsia="Arial Unicode MS" w:hAnsi="Arial Narrow" w:cs="Arial Unicode MS"/>
          <w:color w:val="595959" w:themeColor="text1" w:themeTint="A6"/>
          <w:sz w:val="24"/>
          <w:szCs w:val="24"/>
        </w:rPr>
        <w:t>droit de l’exercice de son droit de préemption.</w:t>
      </w:r>
    </w:p>
    <w:p w14:paraId="513876F8"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E38EC58" w14:textId="7B800801" w:rsidR="00452922"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Si un ayant</w:t>
      </w:r>
      <w:r w:rsidR="00C43D88">
        <w:rPr>
          <w:rFonts w:ascii="Arial Narrow" w:eastAsia="Arial Unicode MS" w:hAnsi="Arial Narrow" w:cs="Arial Unicode MS"/>
          <w:color w:val="595959" w:themeColor="text1" w:themeTint="A6"/>
          <w:sz w:val="24"/>
          <w:szCs w:val="24"/>
        </w:rPr>
        <w:t xml:space="preserve"> </w:t>
      </w:r>
      <w:r>
        <w:rPr>
          <w:rFonts w:ascii="Arial Narrow" w:eastAsia="Arial Unicode MS" w:hAnsi="Arial Narrow" w:cs="Arial Unicode MS"/>
          <w:color w:val="595959" w:themeColor="text1" w:themeTint="A6"/>
          <w:sz w:val="24"/>
          <w:szCs w:val="24"/>
        </w:rPr>
        <w:t>droit cède sa part dans la part de copropriété dans l’Immeuble à un autre ayant-droit, la Partie survivante ne jouit d’aucun droit de préemption.</w:t>
      </w:r>
    </w:p>
    <w:p w14:paraId="68CFED85" w14:textId="77777777" w:rsidR="00452922"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BD7E368"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743BC952"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RÈGLEMENT DES CONFLITS</w:t>
      </w:r>
    </w:p>
    <w:p w14:paraId="34A74600"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1035478B"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6706554B"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Sauf accord contraire exprès et écrit entre les Parties, tout litige relatif à la validité, à l’interprétation ou à l’exécution de la présente Convention qui ne pourraient être résolus à l’amiable, seront réglés de la façon suivante :</w:t>
      </w:r>
    </w:p>
    <w:p w14:paraId="7903081E" w14:textId="77777777" w:rsidR="00452922" w:rsidRPr="00250967" w:rsidRDefault="00452922" w:rsidP="00452922">
      <w:pPr>
        <w:ind w:right="-2"/>
        <w:jc w:val="both"/>
        <w:rPr>
          <w:rFonts w:ascii="Arial Narrow" w:hAnsi="Arial Narrow"/>
          <w:color w:val="595959" w:themeColor="text1" w:themeTint="A6"/>
        </w:rPr>
      </w:pPr>
    </w:p>
    <w:p w14:paraId="045B59FE" w14:textId="77777777" w:rsidR="00452922" w:rsidRPr="00250967" w:rsidRDefault="00452922" w:rsidP="00452922">
      <w:pPr>
        <w:pStyle w:val="Corpsdetexte"/>
        <w:numPr>
          <w:ilvl w:val="0"/>
          <w:numId w:val="13"/>
        </w:numPr>
        <w:kinsoku w:val="0"/>
        <w:overflowPunct w:val="0"/>
        <w:ind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Parties tenteront d’abord de résoudre le litige par la médiation selon les règles suivantes :</w:t>
      </w:r>
    </w:p>
    <w:p w14:paraId="3F9818C0" w14:textId="77777777" w:rsidR="00452922" w:rsidRPr="00250967" w:rsidRDefault="00452922" w:rsidP="00452922">
      <w:pPr>
        <w:pStyle w:val="Corpsdetexte"/>
        <w:kinsoku w:val="0"/>
        <w:overflowPunct w:val="0"/>
        <w:ind w:left="1429" w:right="87"/>
        <w:jc w:val="both"/>
        <w:rPr>
          <w:rFonts w:ascii="Arial Narrow" w:eastAsia="Arial Unicode MS" w:hAnsi="Arial Narrow" w:cs="Arial Unicode MS"/>
          <w:color w:val="595959" w:themeColor="text1" w:themeTint="A6"/>
          <w:sz w:val="24"/>
          <w:szCs w:val="24"/>
        </w:rPr>
      </w:pPr>
    </w:p>
    <w:p w14:paraId="48FA4F6C"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Une Partie désignera un médiateur ; l’autre Partie pourra s’opposer à cette désignation de façon discrétionnaire ; la première Partie désignera alors un autre médiateur agréé sans que l’autre Partie ne puisse plus s’opposer à sa désignation, sauf, mutatis mutandis, pour les motifs de récusation visés à l’article 828 du Code judiciaire.</w:t>
      </w:r>
    </w:p>
    <w:p w14:paraId="45C5BBA0"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p>
    <w:p w14:paraId="4DBBB75A"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frais et honoraires du médiateur seront partagés à 50/50 entre les Parties.</w:t>
      </w:r>
    </w:p>
    <w:p w14:paraId="3575C373"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p>
    <w:p w14:paraId="01D7DEC2"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lastRenderedPageBreak/>
        <w:t>La médiation débutera au plus tard 15 jours après l’acceptation de sa mission par le Médiateur.</w:t>
      </w:r>
    </w:p>
    <w:p w14:paraId="518972FF"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p>
    <w:p w14:paraId="210D7529"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Parties seront personnellement présentes aux séances de médiation.</w:t>
      </w:r>
    </w:p>
    <w:p w14:paraId="1C546C2E"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p>
    <w:p w14:paraId="6DC6E2B8"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Les Parties s’engagent à ne pas arrêter la médiation avant que chacune d’elle n’ait fait l’exposé introductif en séance commune.</w:t>
      </w:r>
    </w:p>
    <w:p w14:paraId="01F4AE06" w14:textId="77777777" w:rsidR="00452922" w:rsidRPr="00250967" w:rsidRDefault="00452922" w:rsidP="00452922">
      <w:pPr>
        <w:pStyle w:val="Corpsdetexte"/>
        <w:tabs>
          <w:tab w:val="left" w:pos="1418"/>
        </w:tabs>
        <w:kinsoku w:val="0"/>
        <w:overflowPunct w:val="0"/>
        <w:ind w:left="1418" w:right="87"/>
        <w:jc w:val="both"/>
        <w:rPr>
          <w:rFonts w:ascii="Arial Narrow" w:eastAsia="Arial Unicode MS" w:hAnsi="Arial Narrow" w:cs="Arial Unicode MS"/>
          <w:color w:val="595959" w:themeColor="text1" w:themeTint="A6"/>
          <w:sz w:val="24"/>
          <w:szCs w:val="24"/>
        </w:rPr>
      </w:pPr>
    </w:p>
    <w:p w14:paraId="22C4D55A" w14:textId="77777777" w:rsidR="00452922" w:rsidRPr="00250967" w:rsidRDefault="00452922" w:rsidP="00452922">
      <w:pPr>
        <w:pStyle w:val="Corpsdetexte"/>
        <w:numPr>
          <w:ilvl w:val="1"/>
          <w:numId w:val="13"/>
        </w:numPr>
        <w:tabs>
          <w:tab w:val="left" w:pos="1418"/>
        </w:tabs>
        <w:kinsoku w:val="0"/>
        <w:overflowPunct w:val="0"/>
        <w:ind w:left="1418" w:right="87" w:hanging="284"/>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 durée de médiation ne pourra excéder 45 jours calendaires, sauf accord exprès des Parties.</w:t>
      </w:r>
    </w:p>
    <w:p w14:paraId="7439A7E0"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578767A1"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En cas d’échec de la médiation, le litige sera soumis aux juridictions de l’arrondissement judiciaire du Bruxelles, nonobstant pluralité de défendeurs ou appel en garantie, même pour les procédures d’urgence ou pour les procédures conservatoires, en référé ou par requête.</w:t>
      </w:r>
    </w:p>
    <w:p w14:paraId="009F8181" w14:textId="77777777" w:rsidR="00452922"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0237E891"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5E1A6B8" w14:textId="77777777" w:rsidR="00452922" w:rsidRPr="00250967" w:rsidRDefault="00452922" w:rsidP="00452922">
      <w:pPr>
        <w:pStyle w:val="Corpsdetexte"/>
        <w:numPr>
          <w:ilvl w:val="0"/>
          <w:numId w:val="12"/>
        </w:numPr>
        <w:pBdr>
          <w:bottom w:val="single" w:sz="4" w:space="1" w:color="auto"/>
        </w:pBdr>
        <w:kinsoku w:val="0"/>
        <w:overflowPunct w:val="0"/>
        <w:ind w:left="426" w:right="87"/>
        <w:jc w:val="both"/>
        <w:rPr>
          <w:rFonts w:ascii="Arial Narrow" w:eastAsia="Arial Unicode MS" w:hAnsi="Arial Narrow" w:cs="Arial Unicode MS"/>
          <w:b/>
          <w:color w:val="595959" w:themeColor="text1" w:themeTint="A6"/>
          <w:sz w:val="24"/>
          <w:szCs w:val="24"/>
        </w:rPr>
      </w:pPr>
      <w:r w:rsidRPr="00250967">
        <w:rPr>
          <w:rFonts w:ascii="Arial Narrow" w:eastAsia="Arial Unicode MS" w:hAnsi="Arial Narrow" w:cs="Arial Unicode MS"/>
          <w:b/>
          <w:color w:val="595959" w:themeColor="text1" w:themeTint="A6"/>
          <w:sz w:val="24"/>
          <w:szCs w:val="24"/>
        </w:rPr>
        <w:t>DIVERS</w:t>
      </w:r>
    </w:p>
    <w:p w14:paraId="2CC5ADFB"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36B04C34"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rPr>
      </w:pPr>
    </w:p>
    <w:p w14:paraId="24682E73"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La présente Convention constitue l’accord entier entre les Parties. Elle annule et remplace toute convention écrite ou tacite antérieure concernant son objet ainsi que tous les documents préparatoires.</w:t>
      </w:r>
    </w:p>
    <w:p w14:paraId="4BCAB729" w14:textId="77777777" w:rsidR="00452922" w:rsidRPr="00250967" w:rsidRDefault="00452922" w:rsidP="00452922">
      <w:pPr>
        <w:jc w:val="both"/>
        <w:rPr>
          <w:rFonts w:ascii="Arial Narrow" w:hAnsi="Arial Narrow"/>
          <w:color w:val="595959" w:themeColor="text1" w:themeTint="A6"/>
        </w:rPr>
      </w:pPr>
    </w:p>
    <w:p w14:paraId="3AE18160" w14:textId="77777777" w:rsidR="00452922" w:rsidRPr="00250967" w:rsidRDefault="00452922" w:rsidP="00452922">
      <w:pPr>
        <w:jc w:val="both"/>
        <w:rPr>
          <w:rFonts w:ascii="Arial Narrow" w:hAnsi="Arial Narrow"/>
          <w:color w:val="595959" w:themeColor="text1" w:themeTint="A6"/>
        </w:rPr>
      </w:pPr>
    </w:p>
    <w:p w14:paraId="782D25C6"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La nullité éventuelle de l’une des clauses ou d’une partie de l’une des clauses de la présente Convention n’entraîne pas la nullité de l’ensemble de la clause ni celle de l’ensemble de la Convention. Dans la mesure du possible, les </w:t>
      </w:r>
      <w:r>
        <w:rPr>
          <w:rFonts w:ascii="Arial Narrow" w:eastAsia="Arial Unicode MS" w:hAnsi="Arial Narrow" w:cs="Arial Unicode MS"/>
          <w:color w:val="595959" w:themeColor="text1" w:themeTint="A6"/>
          <w:sz w:val="24"/>
          <w:szCs w:val="24"/>
        </w:rPr>
        <w:t>P</w:t>
      </w:r>
      <w:r w:rsidRPr="00250967">
        <w:rPr>
          <w:rFonts w:ascii="Arial Narrow" w:eastAsia="Arial Unicode MS" w:hAnsi="Arial Narrow" w:cs="Arial Unicode MS"/>
          <w:color w:val="595959" w:themeColor="text1" w:themeTint="A6"/>
          <w:sz w:val="24"/>
          <w:szCs w:val="24"/>
        </w:rPr>
        <w:t xml:space="preserve">arties substitueront une clause valable ayant un effet économique équivalent à la clause nulle ou partiellement nulle. </w:t>
      </w:r>
    </w:p>
    <w:p w14:paraId="770F1E54" w14:textId="77777777" w:rsidR="00452922" w:rsidRPr="00250967" w:rsidRDefault="00452922" w:rsidP="00452922">
      <w:pPr>
        <w:jc w:val="both"/>
        <w:rPr>
          <w:rFonts w:ascii="Arial Narrow" w:hAnsi="Arial Narrow"/>
          <w:color w:val="595959" w:themeColor="text1" w:themeTint="A6"/>
        </w:rPr>
      </w:pPr>
    </w:p>
    <w:p w14:paraId="1A0B7108" w14:textId="77777777" w:rsidR="00452922" w:rsidRPr="00250967" w:rsidRDefault="00452922" w:rsidP="00452922">
      <w:pPr>
        <w:jc w:val="both"/>
        <w:rPr>
          <w:rFonts w:ascii="Arial Narrow" w:hAnsi="Arial Narrow"/>
          <w:color w:val="595959" w:themeColor="text1" w:themeTint="A6"/>
        </w:rPr>
      </w:pPr>
    </w:p>
    <w:p w14:paraId="43FC04C4"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t xml:space="preserve">Toute notification dans le cadre de la présente Convention est adressée par lettre recommandée à la poste avec accusé de réception et copie par email à l’adresse habituelle des Parties. Ces notifications sont valablement adressées aux domiciles des </w:t>
      </w:r>
      <w:r>
        <w:rPr>
          <w:rFonts w:ascii="Arial Narrow" w:eastAsia="Arial Unicode MS" w:hAnsi="Arial Narrow" w:cs="Arial Unicode MS"/>
          <w:color w:val="595959" w:themeColor="text1" w:themeTint="A6"/>
          <w:sz w:val="24"/>
          <w:szCs w:val="24"/>
        </w:rPr>
        <w:t>P</w:t>
      </w:r>
      <w:r w:rsidRPr="00250967">
        <w:rPr>
          <w:rFonts w:ascii="Arial Narrow" w:eastAsia="Arial Unicode MS" w:hAnsi="Arial Narrow" w:cs="Arial Unicode MS"/>
          <w:color w:val="595959" w:themeColor="text1" w:themeTint="A6"/>
          <w:sz w:val="24"/>
          <w:szCs w:val="24"/>
        </w:rPr>
        <w:t xml:space="preserve">arties tels que mentionnés ci-dessus sauf déplacement du domicile d’une </w:t>
      </w:r>
      <w:r>
        <w:rPr>
          <w:rFonts w:ascii="Arial Narrow" w:eastAsia="Arial Unicode MS" w:hAnsi="Arial Narrow" w:cs="Arial Unicode MS"/>
          <w:color w:val="595959" w:themeColor="text1" w:themeTint="A6"/>
          <w:sz w:val="24"/>
          <w:szCs w:val="24"/>
        </w:rPr>
        <w:t>P</w:t>
      </w:r>
      <w:r w:rsidRPr="00250967">
        <w:rPr>
          <w:rFonts w:ascii="Arial Narrow" w:eastAsia="Arial Unicode MS" w:hAnsi="Arial Narrow" w:cs="Arial Unicode MS"/>
          <w:color w:val="595959" w:themeColor="text1" w:themeTint="A6"/>
          <w:sz w:val="24"/>
          <w:szCs w:val="24"/>
        </w:rPr>
        <w:t xml:space="preserve">artie dûment notifié </w:t>
      </w:r>
      <w:r>
        <w:rPr>
          <w:rFonts w:ascii="Arial Narrow" w:eastAsia="Arial Unicode MS" w:hAnsi="Arial Narrow" w:cs="Arial Unicode MS"/>
          <w:color w:val="595959" w:themeColor="text1" w:themeTint="A6"/>
          <w:sz w:val="24"/>
          <w:szCs w:val="24"/>
        </w:rPr>
        <w:t>à l’</w:t>
      </w:r>
      <w:r w:rsidRPr="00250967">
        <w:rPr>
          <w:rFonts w:ascii="Arial Narrow" w:eastAsia="Arial Unicode MS" w:hAnsi="Arial Narrow" w:cs="Arial Unicode MS"/>
          <w:color w:val="595959" w:themeColor="text1" w:themeTint="A6"/>
          <w:sz w:val="24"/>
          <w:szCs w:val="24"/>
        </w:rPr>
        <w:t>autre</w:t>
      </w:r>
      <w:r>
        <w:rPr>
          <w:rFonts w:ascii="Arial Narrow" w:eastAsia="Arial Unicode MS" w:hAnsi="Arial Narrow" w:cs="Arial Unicode MS"/>
          <w:color w:val="595959" w:themeColor="text1" w:themeTint="A6"/>
          <w:sz w:val="24"/>
          <w:szCs w:val="24"/>
        </w:rPr>
        <w:t xml:space="preserve"> Partie</w:t>
      </w:r>
      <w:r w:rsidRPr="00250967">
        <w:rPr>
          <w:rFonts w:ascii="Arial Narrow" w:eastAsia="Arial Unicode MS" w:hAnsi="Arial Narrow" w:cs="Arial Unicode MS"/>
          <w:color w:val="595959" w:themeColor="text1" w:themeTint="A6"/>
          <w:sz w:val="24"/>
          <w:szCs w:val="24"/>
        </w:rPr>
        <w:t>. Les notifications prendront effet à leur date d’envoi, le cachet de la Poste faisant foi.</w:t>
      </w:r>
    </w:p>
    <w:p w14:paraId="364FAA45"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2943F574"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2F2C3B8F" w14:textId="77777777" w:rsidR="00452922" w:rsidRPr="00250967" w:rsidRDefault="00452922" w:rsidP="00452922">
      <w:pPr>
        <w:pStyle w:val="Corpsdetexte"/>
        <w:numPr>
          <w:ilvl w:val="1"/>
          <w:numId w:val="12"/>
        </w:numPr>
        <w:kinsoku w:val="0"/>
        <w:overflowPunct w:val="0"/>
        <w:ind w:left="709" w:right="87" w:hanging="643"/>
        <w:jc w:val="both"/>
        <w:rPr>
          <w:rFonts w:ascii="Arial Narrow" w:eastAsia="Arial Unicode MS" w:hAnsi="Arial Narrow" w:cs="Arial Unicode MS"/>
          <w:color w:val="595959" w:themeColor="text1" w:themeTint="A6"/>
          <w:sz w:val="24"/>
          <w:szCs w:val="24"/>
          <w:lang w:val="fr-BE"/>
        </w:rPr>
      </w:pPr>
      <w:r w:rsidRPr="00250967">
        <w:rPr>
          <w:rFonts w:ascii="Arial Narrow" w:eastAsia="Arial Unicode MS" w:hAnsi="Arial Narrow" w:cs="Arial Unicode MS"/>
          <w:color w:val="595959" w:themeColor="text1" w:themeTint="A6"/>
          <w:sz w:val="24"/>
          <w:szCs w:val="24"/>
        </w:rPr>
        <w:t>Toute modification à la présente Convention ne pourra résulter que d’un document écrit et signé par toutes les Parties. Aucune modification ne pourra être déduite d’une tolérance ou de l’absence de réaction d’une Partie. Le défaut d’une Partie de se prévaloir, pendant un certain temps, de ses droits issus de la présente Convention n’emportera jamais la renonciation aux droits en question.</w:t>
      </w:r>
    </w:p>
    <w:p w14:paraId="4EF59D50"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lang w:val="fr-BE"/>
        </w:rPr>
      </w:pPr>
    </w:p>
    <w:p w14:paraId="3FA0E107"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lang w:val="fr-BE"/>
        </w:rPr>
      </w:pPr>
    </w:p>
    <w:p w14:paraId="19E590A7" w14:textId="77777777" w:rsidR="00452922" w:rsidRPr="00250967" w:rsidRDefault="00452922" w:rsidP="00452922">
      <w:pPr>
        <w:pStyle w:val="Corpsdetexte"/>
        <w:kinsoku w:val="0"/>
        <w:overflowPunct w:val="0"/>
        <w:ind w:left="0" w:right="87"/>
        <w:jc w:val="both"/>
        <w:rPr>
          <w:rFonts w:ascii="Arial Narrow" w:eastAsia="Arial Unicode MS" w:hAnsi="Arial Narrow" w:cs="Arial Unicode MS"/>
          <w:color w:val="595959" w:themeColor="text1" w:themeTint="A6"/>
          <w:sz w:val="24"/>
          <w:szCs w:val="24"/>
          <w:lang w:val="fr-BE"/>
        </w:rPr>
      </w:pPr>
    </w:p>
    <w:p w14:paraId="16EB189C" w14:textId="77777777" w:rsidR="00452922" w:rsidRPr="00250967" w:rsidRDefault="00452922" w:rsidP="00452922">
      <w:pPr>
        <w:jc w:val="both"/>
        <w:rPr>
          <w:rFonts w:ascii="Arial Narrow" w:hAnsi="Arial Narrow"/>
          <w:color w:val="595959" w:themeColor="text1" w:themeTint="A6"/>
        </w:rPr>
      </w:pPr>
      <w:r w:rsidRPr="00250967">
        <w:rPr>
          <w:rFonts w:ascii="Arial Narrow" w:hAnsi="Arial Narrow"/>
          <w:color w:val="595959" w:themeColor="text1" w:themeTint="A6"/>
        </w:rPr>
        <w:t>Fait à</w:t>
      </w:r>
      <w:r>
        <w:rPr>
          <w:rFonts w:ascii="Arial Narrow" w:hAnsi="Arial Narrow"/>
          <w:color w:val="595959" w:themeColor="text1" w:themeTint="A6"/>
        </w:rPr>
        <w:t xml:space="preserve"> _____</w:t>
      </w:r>
      <w:r w:rsidRPr="00250967">
        <w:rPr>
          <w:rFonts w:ascii="Arial Narrow" w:hAnsi="Arial Narrow"/>
          <w:color w:val="595959" w:themeColor="text1" w:themeTint="A6"/>
        </w:rPr>
        <w:t xml:space="preserve">, le </w:t>
      </w:r>
      <w:r>
        <w:rPr>
          <w:rFonts w:ascii="Arial Narrow" w:hAnsi="Arial Narrow"/>
          <w:color w:val="595959" w:themeColor="text1" w:themeTint="A6"/>
        </w:rPr>
        <w:t>1</w:t>
      </w:r>
      <w:r w:rsidRPr="007B6D27">
        <w:rPr>
          <w:rFonts w:ascii="Arial Narrow" w:hAnsi="Arial Narrow"/>
          <w:color w:val="595959" w:themeColor="text1" w:themeTint="A6"/>
          <w:vertAlign w:val="superscript"/>
        </w:rPr>
        <w:t>er</w:t>
      </w:r>
      <w:r>
        <w:rPr>
          <w:rFonts w:ascii="Arial Narrow" w:hAnsi="Arial Narrow"/>
          <w:color w:val="595959" w:themeColor="text1" w:themeTint="A6"/>
        </w:rPr>
        <w:t xml:space="preserve"> janvier</w:t>
      </w:r>
      <w:r w:rsidRPr="00250967">
        <w:rPr>
          <w:rFonts w:ascii="Arial Narrow" w:hAnsi="Arial Narrow"/>
          <w:color w:val="595959" w:themeColor="text1" w:themeTint="A6"/>
        </w:rPr>
        <w:t xml:space="preserve"> 202</w:t>
      </w:r>
      <w:r>
        <w:rPr>
          <w:rFonts w:ascii="Arial Narrow" w:hAnsi="Arial Narrow"/>
          <w:color w:val="595959" w:themeColor="text1" w:themeTint="A6"/>
        </w:rPr>
        <w:t>1</w:t>
      </w:r>
      <w:r w:rsidRPr="00250967">
        <w:rPr>
          <w:rFonts w:ascii="Arial Narrow" w:hAnsi="Arial Narrow"/>
          <w:color w:val="595959" w:themeColor="text1" w:themeTint="A6"/>
        </w:rPr>
        <w:t>, en autant d'exemplaires que de parties, chacune reconnaissant avoir reçu le sien.</w:t>
      </w:r>
    </w:p>
    <w:p w14:paraId="541BC627"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488DA9D3"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7DB8CD74"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35AED81F"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0FA5F634" w14:textId="77777777" w:rsidR="00452922" w:rsidRPr="00250967" w:rsidRDefault="00452922" w:rsidP="00452922">
      <w:pPr>
        <w:pStyle w:val="Corpsdetexte"/>
        <w:kinsoku w:val="0"/>
        <w:overflowPunct w:val="0"/>
        <w:ind w:left="66" w:right="87"/>
        <w:jc w:val="both"/>
        <w:rPr>
          <w:rFonts w:ascii="Arial Narrow" w:eastAsia="Arial Unicode MS" w:hAnsi="Arial Narrow" w:cs="Arial Unicode MS"/>
          <w:color w:val="595959" w:themeColor="text1" w:themeTint="A6"/>
          <w:sz w:val="24"/>
          <w:szCs w:val="24"/>
        </w:rPr>
      </w:pPr>
    </w:p>
    <w:p w14:paraId="6CE2F3AB" w14:textId="77777777" w:rsidR="00452922" w:rsidRPr="00250967" w:rsidRDefault="00452922" w:rsidP="00452922">
      <w:pPr>
        <w:pStyle w:val="Corpsdetexte"/>
        <w:tabs>
          <w:tab w:val="left" w:pos="5529"/>
        </w:tabs>
        <w:kinsoku w:val="0"/>
        <w:overflowPunct w:val="0"/>
        <w:ind w:left="851" w:right="87"/>
        <w:jc w:val="both"/>
        <w:rPr>
          <w:rFonts w:ascii="Arial Narrow" w:eastAsia="Arial Unicode MS" w:hAnsi="Arial Narrow" w:cs="Arial Unicode MS"/>
          <w:color w:val="595959" w:themeColor="text1" w:themeTint="A6"/>
          <w:sz w:val="24"/>
          <w:szCs w:val="24"/>
        </w:rPr>
      </w:pPr>
      <w:r w:rsidRPr="00250967">
        <w:rPr>
          <w:rFonts w:ascii="Arial Narrow" w:eastAsia="Arial Unicode MS" w:hAnsi="Arial Narrow" w:cs="Arial Unicode MS"/>
          <w:color w:val="595959" w:themeColor="text1" w:themeTint="A6"/>
          <w:sz w:val="24"/>
          <w:szCs w:val="24"/>
        </w:rPr>
        <w:lastRenderedPageBreak/>
        <w:t>_______________________</w:t>
      </w:r>
      <w:r w:rsidRPr="00250967">
        <w:rPr>
          <w:rFonts w:ascii="Arial Narrow" w:eastAsia="Arial Unicode MS" w:hAnsi="Arial Narrow" w:cs="Arial Unicode MS"/>
          <w:color w:val="595959" w:themeColor="text1" w:themeTint="A6"/>
          <w:sz w:val="24"/>
          <w:szCs w:val="24"/>
        </w:rPr>
        <w:tab/>
        <w:t>_____________________</w:t>
      </w:r>
    </w:p>
    <w:p w14:paraId="59AACB99" w14:textId="77777777" w:rsidR="00452922" w:rsidRPr="00250967" w:rsidRDefault="00452922" w:rsidP="00452922">
      <w:pPr>
        <w:pStyle w:val="Corpsdetexte"/>
        <w:tabs>
          <w:tab w:val="left" w:pos="5529"/>
        </w:tabs>
        <w:kinsoku w:val="0"/>
        <w:overflowPunct w:val="0"/>
        <w:ind w:left="851" w:right="87"/>
        <w:jc w:val="both"/>
        <w:rPr>
          <w:rFonts w:ascii="Arial Narrow" w:eastAsia="Arial Unicode MS" w:hAnsi="Arial Narrow" w:cs="Arial Unicode MS"/>
          <w:color w:val="595959" w:themeColor="text1" w:themeTint="A6"/>
          <w:sz w:val="24"/>
          <w:szCs w:val="24"/>
        </w:rPr>
      </w:pPr>
      <w:r>
        <w:rPr>
          <w:rFonts w:ascii="Arial Narrow" w:eastAsia="Arial Unicode MS" w:hAnsi="Arial Narrow" w:cs="Arial Unicode MS"/>
          <w:color w:val="595959" w:themeColor="text1" w:themeTint="A6"/>
          <w:sz w:val="24"/>
          <w:szCs w:val="24"/>
        </w:rPr>
        <w:t>Nicolas</w:t>
      </w:r>
      <w:r w:rsidRPr="00250967">
        <w:rPr>
          <w:rFonts w:ascii="Arial Narrow" w:eastAsia="Arial Unicode MS" w:hAnsi="Arial Narrow" w:cs="Arial Unicode MS"/>
          <w:color w:val="595959" w:themeColor="text1" w:themeTint="A6"/>
          <w:sz w:val="24"/>
          <w:szCs w:val="24"/>
        </w:rPr>
        <w:tab/>
      </w:r>
      <w:r>
        <w:rPr>
          <w:rFonts w:ascii="Arial Narrow" w:eastAsia="Arial Unicode MS" w:hAnsi="Arial Narrow" w:cs="Arial Unicode MS"/>
          <w:color w:val="595959" w:themeColor="text1" w:themeTint="A6"/>
          <w:sz w:val="24"/>
          <w:szCs w:val="24"/>
        </w:rPr>
        <w:t>Sabine</w:t>
      </w:r>
    </w:p>
    <w:p w14:paraId="08519CC1" w14:textId="77777777" w:rsidR="00C00FA0" w:rsidRDefault="00DB5B25"/>
    <w:sectPr w:rsidR="00C00FA0" w:rsidSect="0025138B">
      <w:footerReference w:type="even" r:id="rId7"/>
      <w:footerReference w:type="default" r:id="rId8"/>
      <w:pgSz w:w="11900" w:h="16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E656" w14:textId="77777777" w:rsidR="00DB5B25" w:rsidRDefault="00DB5B25" w:rsidP="00452922">
      <w:r>
        <w:separator/>
      </w:r>
    </w:p>
  </w:endnote>
  <w:endnote w:type="continuationSeparator" w:id="0">
    <w:p w14:paraId="55B46534" w14:textId="77777777" w:rsidR="00DB5B25" w:rsidRDefault="00DB5B25" w:rsidP="0045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itres CS)">
    <w:altName w:val="Times New Roman"/>
    <w:panose1 w:val="02020603050405020304"/>
    <w:charset w:val="00"/>
    <w:family w:val="roman"/>
    <w:pitch w:val="variable"/>
    <w:sig w:usb0="E0002AFF" w:usb1="C0007841" w:usb2="00000009" w:usb3="00000000" w:csb0="000001FF" w:csb1="00000000"/>
  </w:font>
  <w:font w:name="Futura LT Book">
    <w:altName w:val="Futura LT Book"/>
    <w:panose1 w:val="02000504030000020003"/>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74923761"/>
      <w:docPartObj>
        <w:docPartGallery w:val="Page Numbers (Bottom of Page)"/>
        <w:docPartUnique/>
      </w:docPartObj>
    </w:sdtPr>
    <w:sdtContent>
      <w:p w14:paraId="61F32010" w14:textId="7C485BE9" w:rsidR="00C43D88" w:rsidRDefault="00C43D88" w:rsidP="004105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1E137D" w14:textId="77777777" w:rsidR="00C43D88" w:rsidRDefault="00C43D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26866015"/>
      <w:docPartObj>
        <w:docPartGallery w:val="Page Numbers (Bottom of Page)"/>
        <w:docPartUnique/>
      </w:docPartObj>
    </w:sdtPr>
    <w:sdtContent>
      <w:p w14:paraId="3AF4FA4A" w14:textId="0EA60A6B" w:rsidR="00C43D88" w:rsidRDefault="00C43D88" w:rsidP="004105D1">
        <w:pPr>
          <w:pStyle w:val="Pieddepage"/>
          <w:framePr w:wrap="none" w:vAnchor="text" w:hAnchor="margin" w:xAlign="center" w:y="1"/>
          <w:rPr>
            <w:rStyle w:val="Numrodepage"/>
          </w:rPr>
        </w:pPr>
        <w:r w:rsidRPr="00C43D88">
          <w:rPr>
            <w:rStyle w:val="Numrodepage"/>
            <w:rFonts w:ascii="Arial Narrow" w:hAnsi="Arial Narrow"/>
            <w:color w:val="404040" w:themeColor="text1" w:themeTint="BF"/>
            <w:sz w:val="22"/>
            <w:szCs w:val="22"/>
          </w:rPr>
          <w:fldChar w:fldCharType="begin"/>
        </w:r>
        <w:r w:rsidRPr="00C43D88">
          <w:rPr>
            <w:rStyle w:val="Numrodepage"/>
            <w:rFonts w:ascii="Arial Narrow" w:hAnsi="Arial Narrow"/>
            <w:color w:val="404040" w:themeColor="text1" w:themeTint="BF"/>
            <w:sz w:val="22"/>
            <w:szCs w:val="22"/>
          </w:rPr>
          <w:instrText xml:space="preserve"> PAGE </w:instrText>
        </w:r>
        <w:r w:rsidRPr="00C43D88">
          <w:rPr>
            <w:rStyle w:val="Numrodepage"/>
            <w:rFonts w:ascii="Arial Narrow" w:hAnsi="Arial Narrow"/>
            <w:color w:val="404040" w:themeColor="text1" w:themeTint="BF"/>
            <w:sz w:val="22"/>
            <w:szCs w:val="22"/>
          </w:rPr>
          <w:fldChar w:fldCharType="separate"/>
        </w:r>
        <w:r w:rsidRPr="00C43D88">
          <w:rPr>
            <w:rStyle w:val="Numrodepage"/>
            <w:rFonts w:ascii="Arial Narrow" w:hAnsi="Arial Narrow"/>
            <w:noProof/>
            <w:color w:val="404040" w:themeColor="text1" w:themeTint="BF"/>
            <w:sz w:val="22"/>
            <w:szCs w:val="22"/>
          </w:rPr>
          <w:t>5</w:t>
        </w:r>
        <w:r w:rsidRPr="00C43D88">
          <w:rPr>
            <w:rStyle w:val="Numrodepage"/>
            <w:rFonts w:ascii="Arial Narrow" w:hAnsi="Arial Narrow"/>
            <w:color w:val="404040" w:themeColor="text1" w:themeTint="BF"/>
            <w:sz w:val="22"/>
            <w:szCs w:val="22"/>
          </w:rPr>
          <w:fldChar w:fldCharType="end"/>
        </w:r>
      </w:p>
    </w:sdtContent>
  </w:sdt>
  <w:p w14:paraId="7DDB9A39" w14:textId="77777777" w:rsidR="00C43D88" w:rsidRDefault="00C43D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BC3D" w14:textId="77777777" w:rsidR="00DB5B25" w:rsidRDefault="00DB5B25" w:rsidP="00452922">
      <w:r>
        <w:separator/>
      </w:r>
    </w:p>
  </w:footnote>
  <w:footnote w:type="continuationSeparator" w:id="0">
    <w:p w14:paraId="0C8263E6" w14:textId="77777777" w:rsidR="00DB5B25" w:rsidRDefault="00DB5B25" w:rsidP="00452922">
      <w:r>
        <w:continuationSeparator/>
      </w:r>
    </w:p>
  </w:footnote>
  <w:footnote w:id="1">
    <w:p w14:paraId="003B21A2" w14:textId="77777777" w:rsidR="00452922" w:rsidRPr="00F15FA4" w:rsidRDefault="00452922" w:rsidP="00452922">
      <w:pPr>
        <w:pStyle w:val="Notedebasdepage"/>
        <w:rPr>
          <w:rFonts w:ascii="Arial Narrow" w:hAnsi="Arial Narrow"/>
          <w:color w:val="595959" w:themeColor="text1" w:themeTint="A6"/>
          <w:lang w:val="fr-BE"/>
        </w:rPr>
      </w:pPr>
      <w:r w:rsidRPr="00F15FA4">
        <w:rPr>
          <w:rStyle w:val="Appelnotedebasdep"/>
          <w:rFonts w:ascii="Arial Narrow" w:hAnsi="Arial Narrow"/>
          <w:color w:val="595959" w:themeColor="text1" w:themeTint="A6"/>
        </w:rPr>
        <w:footnoteRef/>
      </w:r>
      <w:r w:rsidRPr="00F15FA4">
        <w:rPr>
          <w:rFonts w:ascii="Arial Narrow" w:hAnsi="Arial Narrow"/>
          <w:color w:val="595959" w:themeColor="text1" w:themeTint="A6"/>
        </w:rPr>
        <w:t xml:space="preserve"> </w:t>
      </w:r>
      <w:r w:rsidRPr="00F15FA4">
        <w:rPr>
          <w:rFonts w:ascii="Arial Narrow" w:hAnsi="Arial Narrow"/>
          <w:color w:val="595959" w:themeColor="text1" w:themeTint="A6"/>
          <w:lang w:val="fr-BE"/>
        </w:rPr>
        <w:t xml:space="preserve">La notification </w:t>
      </w:r>
      <w:r>
        <w:rPr>
          <w:rFonts w:ascii="Arial Narrow" w:hAnsi="Arial Narrow"/>
          <w:color w:val="595959" w:themeColor="text1" w:themeTint="A6"/>
          <w:lang w:val="fr-BE"/>
        </w:rPr>
        <w:t>de l’achat s</w:t>
      </w:r>
      <w:r w:rsidRPr="00F15FA4">
        <w:rPr>
          <w:rFonts w:ascii="Arial Narrow" w:hAnsi="Arial Narrow"/>
          <w:color w:val="595959" w:themeColor="text1" w:themeTint="A6"/>
          <w:lang w:val="fr-BE"/>
        </w:rPr>
        <w:t>ous condition suspensive d’obtention d’un crédit contiendra la disposition suivante :</w:t>
      </w:r>
    </w:p>
    <w:p w14:paraId="7785F7C6" w14:textId="77777777" w:rsidR="00452922" w:rsidRPr="00F15FA4" w:rsidRDefault="00452922" w:rsidP="00452922">
      <w:pPr>
        <w:pStyle w:val="Notedebasdepage"/>
        <w:rPr>
          <w:rFonts w:ascii="Arial Narrow" w:hAnsi="Arial Narrow"/>
          <w:color w:val="595959" w:themeColor="text1" w:themeTint="A6"/>
          <w:lang w:val="fr-BE"/>
        </w:rPr>
      </w:pPr>
    </w:p>
    <w:p w14:paraId="697F6269" w14:textId="77777777" w:rsidR="00452922" w:rsidRPr="00F15FA4" w:rsidRDefault="00452922" w:rsidP="00452922">
      <w:pPr>
        <w:pStyle w:val="Notedebasdepage"/>
        <w:ind w:left="567" w:right="617"/>
        <w:jc w:val="both"/>
        <w:rPr>
          <w:rFonts w:ascii="Arial Narrow" w:hAnsi="Arial Narrow"/>
          <w:color w:val="595959" w:themeColor="text1" w:themeTint="A6"/>
          <w:lang w:val="fr-BE"/>
        </w:rPr>
      </w:pPr>
      <w:r>
        <w:rPr>
          <w:rFonts w:ascii="Arial Narrow" w:hAnsi="Arial Narrow"/>
          <w:color w:val="595959" w:themeColor="text1" w:themeTint="A6"/>
          <w:lang w:val="fr-BE"/>
        </w:rPr>
        <w:t>« </w:t>
      </w:r>
      <w:r w:rsidRPr="00F15FA4">
        <w:rPr>
          <w:rFonts w:ascii="Arial Narrow" w:hAnsi="Arial Narrow"/>
          <w:color w:val="595959" w:themeColor="text1" w:themeTint="A6"/>
          <w:lang w:val="fr-BE"/>
        </w:rPr>
        <w:t xml:space="preserve">La vente est conclue sous la condition suspensive </w:t>
      </w:r>
      <w:r>
        <w:rPr>
          <w:rFonts w:ascii="Arial Narrow" w:hAnsi="Arial Narrow"/>
          <w:color w:val="595959" w:themeColor="text1" w:themeTint="A6"/>
          <w:lang w:val="fr-BE"/>
        </w:rPr>
        <w:t>de l’octroi</w:t>
      </w:r>
      <w:r w:rsidRPr="00F15FA4">
        <w:rPr>
          <w:rFonts w:ascii="Arial Narrow" w:hAnsi="Arial Narrow"/>
          <w:color w:val="595959" w:themeColor="text1" w:themeTint="A6"/>
          <w:lang w:val="fr-BE"/>
        </w:rPr>
        <w:t xml:space="preserve"> d’un crédit </w:t>
      </w:r>
      <w:r>
        <w:rPr>
          <w:rFonts w:ascii="Arial Narrow" w:hAnsi="Arial Narrow"/>
          <w:color w:val="595959" w:themeColor="text1" w:themeTint="A6"/>
          <w:lang w:val="fr-BE"/>
        </w:rPr>
        <w:t xml:space="preserve">hypothécaire </w:t>
      </w:r>
      <w:r w:rsidRPr="00F15FA4">
        <w:rPr>
          <w:rFonts w:ascii="Arial Narrow" w:hAnsi="Arial Narrow"/>
          <w:color w:val="595959" w:themeColor="text1" w:themeTint="A6"/>
          <w:lang w:val="fr-BE"/>
        </w:rPr>
        <w:t>couvrant jusqu’à 100 % du prix de cession, hors frais, impôts et taxes au plus tard dans les 6 semaines de</w:t>
      </w:r>
      <w:r>
        <w:rPr>
          <w:rFonts w:ascii="Arial Narrow" w:hAnsi="Arial Narrow"/>
          <w:color w:val="595959" w:themeColor="text1" w:themeTint="A6"/>
          <w:lang w:val="fr-BE"/>
        </w:rPr>
        <w:t xml:space="preserve"> la présente</w:t>
      </w:r>
      <w:r w:rsidRPr="00F15FA4">
        <w:rPr>
          <w:rFonts w:ascii="Arial Narrow" w:hAnsi="Arial Narrow"/>
          <w:color w:val="595959" w:themeColor="text1" w:themeTint="A6"/>
          <w:lang w:val="fr-BE"/>
        </w:rPr>
        <w:t>.</w:t>
      </w:r>
    </w:p>
    <w:p w14:paraId="56EF4B8E" w14:textId="77777777" w:rsidR="00452922" w:rsidRPr="00F15FA4" w:rsidRDefault="00452922" w:rsidP="00452922">
      <w:pPr>
        <w:pStyle w:val="Notedebasdepage"/>
        <w:ind w:left="567" w:right="617"/>
        <w:jc w:val="both"/>
        <w:rPr>
          <w:rFonts w:ascii="Arial Narrow" w:hAnsi="Arial Narrow"/>
          <w:color w:val="595959" w:themeColor="text1" w:themeTint="A6"/>
          <w:lang w:val="fr-BE"/>
        </w:rPr>
      </w:pPr>
    </w:p>
    <w:p w14:paraId="353278A1" w14:textId="77777777" w:rsidR="00452922" w:rsidRPr="00F15FA4" w:rsidRDefault="00452922" w:rsidP="00452922">
      <w:pPr>
        <w:pStyle w:val="Notedebasdepage"/>
        <w:ind w:left="567" w:right="617"/>
        <w:jc w:val="both"/>
        <w:rPr>
          <w:rFonts w:ascii="Arial Narrow" w:hAnsi="Arial Narrow"/>
          <w:color w:val="595959" w:themeColor="text1" w:themeTint="A6"/>
          <w:lang w:val="fr-BE"/>
        </w:rPr>
      </w:pPr>
      <w:r w:rsidRPr="00F15FA4">
        <w:rPr>
          <w:rFonts w:ascii="Arial Narrow" w:hAnsi="Arial Narrow"/>
          <w:color w:val="595959" w:themeColor="text1" w:themeTint="A6"/>
          <w:lang w:val="fr-BE"/>
        </w:rPr>
        <w:t>A défaut de notification du refus de l'octroi du crédit dans le délai prescrit au vendeur dans le délai dont question ci-dessus, la condition suspensive sera réputée réalisée.</w:t>
      </w:r>
      <w:r>
        <w:rPr>
          <w:rFonts w:ascii="Arial Narrow" w:hAnsi="Arial Narrow"/>
          <w:color w:val="595959" w:themeColor="text1" w:themeTint="A6"/>
          <w:lang w:val="fr-BE"/>
        </w:rPr>
        <w:t xml:space="preserve"> </w:t>
      </w:r>
      <w:r w:rsidRPr="00F15FA4">
        <w:rPr>
          <w:rFonts w:ascii="Arial Narrow" w:hAnsi="Arial Narrow"/>
          <w:color w:val="595959" w:themeColor="text1" w:themeTint="A6"/>
          <w:lang w:val="fr-BE"/>
        </w:rPr>
        <w:t>La notification du refus sera faite par Lettre Recommandée postée avant l'échéance du délai avec la lettre de refus de l'organisme prêteur.</w:t>
      </w:r>
      <w:r>
        <w:rPr>
          <w:rFonts w:ascii="Arial Narrow" w:hAnsi="Arial Narrow"/>
          <w:color w:val="595959" w:themeColor="text1" w:themeTint="A6"/>
          <w:lang w:val="fr-BE"/>
        </w:rPr>
        <w:t xml:space="preserve"> La formalité de l’envoi recommandé est essentielle ; tout autre mode de notification ne sortira pas ses effets ».</w:t>
      </w:r>
    </w:p>
    <w:p w14:paraId="6C4A7D7F" w14:textId="77777777" w:rsidR="00452922" w:rsidRPr="00F15FA4" w:rsidRDefault="00452922" w:rsidP="00452922">
      <w:pPr>
        <w:pStyle w:val="Notedebasdepage"/>
        <w:rPr>
          <w:rFonts w:ascii="Arial Narrow" w:hAnsi="Arial Narrow"/>
          <w:color w:val="595959" w:themeColor="text1" w:themeTint="A6"/>
          <w:lang w:val="fr-BE"/>
        </w:rPr>
      </w:pPr>
    </w:p>
    <w:p w14:paraId="00BD5625" w14:textId="77777777" w:rsidR="00452922" w:rsidRPr="00F15FA4" w:rsidRDefault="00452922" w:rsidP="0045292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6AC4"/>
    <w:multiLevelType w:val="multilevel"/>
    <w:tmpl w:val="F7B4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7936EB"/>
    <w:multiLevelType w:val="hybridMultilevel"/>
    <w:tmpl w:val="3558C860"/>
    <w:lvl w:ilvl="0" w:tplc="E13A12F2">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91B1079"/>
    <w:multiLevelType w:val="hybridMultilevel"/>
    <w:tmpl w:val="BED6A1AE"/>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60196034"/>
    <w:multiLevelType w:val="multilevel"/>
    <w:tmpl w:val="C3ECB4EE"/>
    <w:lvl w:ilvl="0">
      <w:start w:val="1"/>
      <w:numFmt w:val="decimal"/>
      <w:lvlText w:val="%1."/>
      <w:lvlJc w:val="left"/>
      <w:pPr>
        <w:ind w:left="720" w:hanging="360"/>
      </w:pPr>
    </w:lvl>
    <w:lvl w:ilvl="1">
      <w:start w:val="1"/>
      <w:numFmt w:val="decimal"/>
      <w:pStyle w:val="Sous-sous-sous-article"/>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A74A75"/>
    <w:multiLevelType w:val="multilevel"/>
    <w:tmpl w:val="A3662CDE"/>
    <w:lvl w:ilvl="0">
      <w:start w:val="2"/>
      <w:numFmt w:val="decimal"/>
      <w:pStyle w:val="Sous-article"/>
      <w:lvlText w:val="Sous-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783A187B"/>
    <w:multiLevelType w:val="multilevel"/>
    <w:tmpl w:val="BB30B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6A7F4F"/>
    <w:multiLevelType w:val="multilevel"/>
    <w:tmpl w:val="9F807098"/>
    <w:lvl w:ilvl="0">
      <w:start w:val="1"/>
      <w:numFmt w:val="decimal"/>
      <w:pStyle w:val="Titre1"/>
      <w:lvlText w:val="%1."/>
      <w:lvlJc w:val="left"/>
      <w:pPr>
        <w:ind w:left="0" w:firstLine="0"/>
      </w:pPr>
      <w:rPr>
        <w:rFonts w:ascii="Arial Narrow" w:hAnsi="Arial Narrow" w:hint="default"/>
        <w:b w:val="0"/>
        <w:i w:val="0"/>
        <w:sz w:val="32"/>
        <w:u w:val="none"/>
        <w:vertAlign w:val="baseline"/>
      </w:rPr>
    </w:lvl>
    <w:lvl w:ilvl="1">
      <w:start w:val="1"/>
      <w:numFmt w:val="decimal"/>
      <w:pStyle w:val="Article"/>
      <w:isLgl/>
      <w:lvlText w:val="%1.%2."/>
      <w:lvlJc w:val="left"/>
      <w:pPr>
        <w:ind w:left="360" w:hanging="360"/>
      </w:pPr>
      <w:rPr>
        <w:rFonts w:hint="default"/>
      </w:rPr>
    </w:lvl>
    <w:lvl w:ilvl="2">
      <w:start w:val="1"/>
      <w:numFmt w:val="decimal"/>
      <w:pStyle w:val="Titr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6"/>
  </w:num>
  <w:num w:numId="3">
    <w:abstractNumId w:val="3"/>
  </w:num>
  <w:num w:numId="4">
    <w:abstractNumId w:val="3"/>
  </w:num>
  <w:num w:numId="5">
    <w:abstractNumId w:val="6"/>
  </w:num>
  <w:num w:numId="6">
    <w:abstractNumId w:val="6"/>
  </w:num>
  <w:num w:numId="7">
    <w:abstractNumId w:val="6"/>
  </w:num>
  <w:num w:numId="8">
    <w:abstractNumId w:val="6"/>
  </w:num>
  <w:num w:numId="9">
    <w:abstractNumId w:val="4"/>
  </w:num>
  <w:num w:numId="10">
    <w:abstractNumId w:val="3"/>
  </w:num>
  <w:num w:numId="11">
    <w:abstractNumId w:val="5"/>
  </w:num>
  <w:num w:numId="12">
    <w:abstractNumId w:val="0"/>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22"/>
    <w:rsid w:val="000C4341"/>
    <w:rsid w:val="00257018"/>
    <w:rsid w:val="00452922"/>
    <w:rsid w:val="00651697"/>
    <w:rsid w:val="00773282"/>
    <w:rsid w:val="00AC2DE5"/>
    <w:rsid w:val="00B641E8"/>
    <w:rsid w:val="00C43D88"/>
    <w:rsid w:val="00CD2B97"/>
    <w:rsid w:val="00DB5B25"/>
    <w:rsid w:val="00E279A1"/>
    <w:rsid w:val="00F30F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E0D6"/>
  <w15:chartTrackingRefBased/>
  <w15:docId w15:val="{7A64EE3D-00D0-EA49-AC28-512FD758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922"/>
    <w:rPr>
      <w:lang w:val="fr-FR"/>
    </w:rPr>
  </w:style>
  <w:style w:type="paragraph" w:styleId="Titre1">
    <w:name w:val="heading 1"/>
    <w:basedOn w:val="Normal"/>
    <w:next w:val="Normal"/>
    <w:link w:val="Titre1Car"/>
    <w:autoRedefine/>
    <w:uiPriority w:val="9"/>
    <w:qFormat/>
    <w:rsid w:val="00651697"/>
    <w:pPr>
      <w:keepNext/>
      <w:numPr>
        <w:numId w:val="8"/>
      </w:numPr>
      <w:pBdr>
        <w:bottom w:val="single" w:sz="4" w:space="1" w:color="auto"/>
      </w:pBdr>
      <w:outlineLvl w:val="0"/>
    </w:pPr>
    <w:rPr>
      <w:rFonts w:ascii="Arial Narrow" w:eastAsia="Times New Roman" w:hAnsi="Arial Narrow" w:cs="Times New Roman"/>
      <w:caps/>
      <w:color w:val="404040" w:themeColor="text1" w:themeTint="BF"/>
      <w:sz w:val="32"/>
      <w:szCs w:val="32"/>
      <w:lang w:eastAsia="ja-JP"/>
    </w:rPr>
  </w:style>
  <w:style w:type="paragraph" w:styleId="Titre2">
    <w:name w:val="heading 2"/>
    <w:basedOn w:val="Normal"/>
    <w:next w:val="Normal"/>
    <w:link w:val="Titre2Car"/>
    <w:autoRedefine/>
    <w:uiPriority w:val="9"/>
    <w:unhideWhenUsed/>
    <w:qFormat/>
    <w:rsid w:val="00651697"/>
    <w:pPr>
      <w:pBdr>
        <w:bottom w:val="dashSmallGap" w:sz="4" w:space="1" w:color="auto"/>
      </w:pBdr>
      <w:ind w:left="567" w:hanging="567"/>
      <w:outlineLvl w:val="1"/>
    </w:pPr>
    <w:rPr>
      <w:rFonts w:ascii="Arial Narrow" w:hAnsi="Arial Narrow" w:cs="Arial"/>
      <w:b/>
      <w:caps/>
      <w:color w:val="404040" w:themeColor="text1" w:themeTint="BF"/>
      <w:spacing w:val="2"/>
    </w:rPr>
  </w:style>
  <w:style w:type="paragraph" w:styleId="Titre3">
    <w:name w:val="heading 3"/>
    <w:basedOn w:val="Normal"/>
    <w:next w:val="Normal"/>
    <w:link w:val="Titre3Car"/>
    <w:autoRedefine/>
    <w:uiPriority w:val="9"/>
    <w:unhideWhenUsed/>
    <w:qFormat/>
    <w:rsid w:val="00651697"/>
    <w:pPr>
      <w:numPr>
        <w:ilvl w:val="2"/>
        <w:numId w:val="1"/>
      </w:numPr>
      <w:pBdr>
        <w:bottom w:val="dotted" w:sz="4" w:space="1" w:color="auto"/>
      </w:pBdr>
      <w:outlineLvl w:val="2"/>
    </w:pPr>
    <w:rPr>
      <w:rFonts w:ascii="Arial Narrow" w:hAnsi="Arial Narrow" w:cs="Arial"/>
      <w:smallCap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Titre1"/>
    <w:autoRedefine/>
    <w:qFormat/>
    <w:rsid w:val="00651697"/>
    <w:pPr>
      <w:numPr>
        <w:ilvl w:val="1"/>
      </w:numPr>
      <w:jc w:val="both"/>
    </w:pPr>
    <w:rPr>
      <w:rFonts w:cs="Times New Roman (Titres CS)"/>
      <w:b/>
      <w:caps w:val="0"/>
      <w:sz w:val="24"/>
    </w:rPr>
  </w:style>
  <w:style w:type="character" w:customStyle="1" w:styleId="Titre1Car">
    <w:name w:val="Titre 1 Car"/>
    <w:basedOn w:val="Policepardfaut"/>
    <w:link w:val="Titre1"/>
    <w:uiPriority w:val="9"/>
    <w:rsid w:val="00651697"/>
    <w:rPr>
      <w:rFonts w:ascii="Arial Narrow" w:eastAsia="Times New Roman" w:hAnsi="Arial Narrow" w:cs="Times New Roman"/>
      <w:caps/>
      <w:color w:val="404040" w:themeColor="text1" w:themeTint="BF"/>
      <w:sz w:val="32"/>
      <w:szCs w:val="32"/>
      <w:lang w:val="fr-FR" w:eastAsia="ja-JP"/>
    </w:rPr>
  </w:style>
  <w:style w:type="paragraph" w:customStyle="1" w:styleId="sous-article0">
    <w:name w:val="sous-article"/>
    <w:basedOn w:val="Article"/>
    <w:next w:val="Normal"/>
    <w:autoRedefine/>
    <w:qFormat/>
    <w:rsid w:val="00F30F27"/>
    <w:pPr>
      <w:numPr>
        <w:ilvl w:val="0"/>
        <w:numId w:val="0"/>
      </w:numPr>
      <w:pBdr>
        <w:bottom w:val="dotted" w:sz="4" w:space="1" w:color="808080" w:themeColor="background1" w:themeShade="80"/>
      </w:pBdr>
      <w:tabs>
        <w:tab w:val="left" w:pos="567"/>
        <w:tab w:val="left" w:pos="851"/>
      </w:tabs>
      <w:outlineLvl w:val="1"/>
    </w:pPr>
    <w:rPr>
      <w:rFonts w:cs="Arial"/>
      <w:b w:val="0"/>
      <w:spacing w:val="2"/>
      <w:szCs w:val="24"/>
    </w:rPr>
  </w:style>
  <w:style w:type="paragraph" w:customStyle="1" w:styleId="Style2">
    <w:name w:val="Style2"/>
    <w:basedOn w:val="Paragraphedeliste"/>
    <w:autoRedefine/>
    <w:qFormat/>
    <w:rsid w:val="00AC2DE5"/>
    <w:pPr>
      <w:pBdr>
        <w:bottom w:val="single" w:sz="4" w:space="1" w:color="auto"/>
      </w:pBdr>
      <w:tabs>
        <w:tab w:val="left" w:pos="-566"/>
        <w:tab w:val="left" w:pos="1166"/>
        <w:tab w:val="left" w:pos="1750"/>
        <w:tab w:val="left" w:pos="2333"/>
        <w:tab w:val="left" w:pos="2819"/>
        <w:tab w:val="left" w:pos="3402"/>
        <w:tab w:val="left" w:pos="3985"/>
        <w:tab w:val="left" w:pos="4568"/>
        <w:tab w:val="left" w:pos="5152"/>
        <w:tab w:val="left" w:pos="5735"/>
        <w:tab w:val="left" w:pos="6221"/>
        <w:tab w:val="left" w:pos="6804"/>
      </w:tabs>
      <w:ind w:left="0"/>
      <w:contextualSpacing w:val="0"/>
      <w:jc w:val="both"/>
    </w:pPr>
    <w:rPr>
      <w:rFonts w:ascii="Arial Narrow" w:eastAsia="Times New Roman" w:hAnsi="Arial Narrow" w:cs="Times New Roman"/>
      <w:b/>
      <w:smallCaps/>
      <w:noProof/>
      <w:lang w:val="en-GB" w:eastAsia="es-ES"/>
    </w:rPr>
  </w:style>
  <w:style w:type="paragraph" w:styleId="Paragraphedeliste">
    <w:name w:val="List Paragraph"/>
    <w:basedOn w:val="Normal"/>
    <w:uiPriority w:val="34"/>
    <w:qFormat/>
    <w:rsid w:val="00E279A1"/>
    <w:pPr>
      <w:ind w:left="720"/>
      <w:contextualSpacing/>
    </w:pPr>
  </w:style>
  <w:style w:type="paragraph" w:customStyle="1" w:styleId="Style3">
    <w:name w:val="Style3"/>
    <w:basedOn w:val="Paragraphedeliste"/>
    <w:autoRedefine/>
    <w:qFormat/>
    <w:rsid w:val="00AC2DE5"/>
    <w:pPr>
      <w:widowControl w:val="0"/>
      <w:pBdr>
        <w:left w:val="dashSmallGap" w:sz="4" w:space="4" w:color="auto"/>
        <w:bottom w:val="dashSmallGap" w:sz="4" w:space="1" w:color="auto"/>
        <w:right w:val="dashSmallGap" w:sz="4" w:space="4" w:color="auto"/>
      </w:pBdr>
      <w:ind w:left="0"/>
      <w:contextualSpacing w:val="0"/>
      <w:jc w:val="both"/>
      <w:outlineLvl w:val="0"/>
    </w:pPr>
    <w:rPr>
      <w:rFonts w:ascii="Arial Narrow" w:eastAsia="Times New Roman" w:hAnsi="Arial Narrow" w:cs="Arial"/>
      <w:b/>
      <w:noProof/>
      <w:color w:val="212121"/>
      <w:lang w:val="en-GB" w:eastAsia="es-ES"/>
    </w:rPr>
  </w:style>
  <w:style w:type="paragraph" w:customStyle="1" w:styleId="Style1">
    <w:name w:val="Style1"/>
    <w:basedOn w:val="Paragraphedeliste"/>
    <w:autoRedefine/>
    <w:qFormat/>
    <w:rsid w:val="00651697"/>
    <w:pPr>
      <w:pBdr>
        <w:bottom w:val="dashed" w:sz="4" w:space="1" w:color="BFBFBF" w:themeColor="background1" w:themeShade="BF"/>
      </w:pBdr>
      <w:spacing w:line="276" w:lineRule="auto"/>
      <w:ind w:left="0" w:right="1552"/>
    </w:pPr>
    <w:rPr>
      <w:rFonts w:ascii="Arial" w:eastAsia="Calibri" w:hAnsi="Arial" w:cs="Arial"/>
      <w:smallCaps/>
      <w:sz w:val="22"/>
      <w:szCs w:val="22"/>
    </w:rPr>
  </w:style>
  <w:style w:type="character" w:customStyle="1" w:styleId="Titre2Car">
    <w:name w:val="Titre 2 Car"/>
    <w:basedOn w:val="Policepardfaut"/>
    <w:link w:val="Titre2"/>
    <w:uiPriority w:val="9"/>
    <w:rsid w:val="00651697"/>
    <w:rPr>
      <w:rFonts w:ascii="Arial Narrow" w:hAnsi="Arial Narrow" w:cs="Arial"/>
      <w:b/>
      <w:caps/>
      <w:color w:val="404040" w:themeColor="text1" w:themeTint="BF"/>
      <w:spacing w:val="2"/>
      <w:lang w:val="fr-FR"/>
    </w:rPr>
  </w:style>
  <w:style w:type="character" w:customStyle="1" w:styleId="Titre3Car">
    <w:name w:val="Titre 3 Car"/>
    <w:basedOn w:val="Policepardfaut"/>
    <w:link w:val="Titre3"/>
    <w:uiPriority w:val="9"/>
    <w:rsid w:val="00651697"/>
    <w:rPr>
      <w:rFonts w:ascii="Arial Narrow" w:hAnsi="Arial Narrow" w:cs="Arial"/>
      <w:smallCaps/>
      <w:color w:val="404040" w:themeColor="text1" w:themeTint="BF"/>
    </w:rPr>
  </w:style>
  <w:style w:type="paragraph" w:customStyle="1" w:styleId="Sous-article">
    <w:name w:val="Sous-article"/>
    <w:basedOn w:val="Titre1"/>
    <w:autoRedefine/>
    <w:qFormat/>
    <w:rsid w:val="00F30F27"/>
    <w:pPr>
      <w:keepNext w:val="0"/>
      <w:numPr>
        <w:numId w:val="9"/>
      </w:numPr>
      <w:tabs>
        <w:tab w:val="left" w:pos="1134"/>
      </w:tabs>
    </w:pPr>
    <w:rPr>
      <w:caps w:val="0"/>
      <w:color w:val="595959"/>
      <w:sz w:val="24"/>
      <w:szCs w:val="20"/>
      <w:lang w:val="fr-BE" w:eastAsia="fr-BE"/>
    </w:rPr>
  </w:style>
  <w:style w:type="paragraph" w:customStyle="1" w:styleId="Sous-sous-sous-article">
    <w:name w:val="Sous-sous-sous-article"/>
    <w:basedOn w:val="Normal"/>
    <w:autoRedefine/>
    <w:qFormat/>
    <w:rsid w:val="00AC2DE5"/>
    <w:pPr>
      <w:keepNext/>
      <w:keepLines/>
      <w:numPr>
        <w:ilvl w:val="1"/>
        <w:numId w:val="10"/>
      </w:numPr>
      <w:pBdr>
        <w:bottom w:val="dashed" w:sz="4" w:space="1" w:color="BFBFBF" w:themeColor="background1" w:themeShade="BF"/>
      </w:pBdr>
      <w:tabs>
        <w:tab w:val="left" w:pos="-566"/>
        <w:tab w:val="left" w:pos="1166"/>
        <w:tab w:val="left" w:pos="1750"/>
        <w:tab w:val="left" w:pos="2333"/>
        <w:tab w:val="left" w:pos="2819"/>
        <w:tab w:val="left" w:pos="3402"/>
        <w:tab w:val="left" w:pos="3985"/>
        <w:tab w:val="left" w:pos="4568"/>
        <w:tab w:val="left" w:pos="5152"/>
        <w:tab w:val="left" w:pos="5735"/>
        <w:tab w:val="left" w:pos="6221"/>
        <w:tab w:val="left" w:pos="6804"/>
      </w:tabs>
      <w:overflowPunct w:val="0"/>
      <w:autoSpaceDE w:val="0"/>
      <w:autoSpaceDN w:val="0"/>
      <w:adjustRightInd w:val="0"/>
      <w:spacing w:line="276" w:lineRule="auto"/>
      <w:ind w:right="1552"/>
      <w:jc w:val="both"/>
      <w:textAlignment w:val="baseline"/>
      <w:outlineLvl w:val="1"/>
    </w:pPr>
    <w:rPr>
      <w:rFonts w:ascii="Arial Narrow" w:eastAsiaTheme="majorEastAsia" w:hAnsi="Arial Narrow" w:cs="Arial"/>
      <w:caps/>
      <w:smallCaps/>
      <w:color w:val="404040" w:themeColor="text1" w:themeTint="BF"/>
      <w:spacing w:val="2"/>
      <w:szCs w:val="22"/>
      <w:u w:val="single"/>
      <w:lang w:val="en-GB" w:eastAsia="es-ES"/>
    </w:rPr>
  </w:style>
  <w:style w:type="paragraph" w:styleId="Corpsdetexte">
    <w:name w:val="Body Text"/>
    <w:basedOn w:val="Normal"/>
    <w:link w:val="CorpsdetexteCar"/>
    <w:uiPriority w:val="1"/>
    <w:unhideWhenUsed/>
    <w:qFormat/>
    <w:rsid w:val="00452922"/>
    <w:pPr>
      <w:widowControl w:val="0"/>
      <w:autoSpaceDE w:val="0"/>
      <w:autoSpaceDN w:val="0"/>
      <w:adjustRightInd w:val="0"/>
      <w:ind w:left="3054"/>
    </w:pPr>
    <w:rPr>
      <w:rFonts w:ascii="Futura LT Book" w:eastAsia="Times New Roman" w:hAnsi="Futura LT Book" w:cs="Futura LT Book"/>
      <w:sz w:val="20"/>
      <w:szCs w:val="20"/>
      <w:lang w:eastAsia="fr-BE"/>
    </w:rPr>
  </w:style>
  <w:style w:type="character" w:customStyle="1" w:styleId="CorpsdetexteCar">
    <w:name w:val="Corps de texte Car"/>
    <w:basedOn w:val="Policepardfaut"/>
    <w:link w:val="Corpsdetexte"/>
    <w:uiPriority w:val="1"/>
    <w:rsid w:val="00452922"/>
    <w:rPr>
      <w:rFonts w:ascii="Futura LT Book" w:eastAsia="Times New Roman" w:hAnsi="Futura LT Book" w:cs="Futura LT Book"/>
      <w:sz w:val="20"/>
      <w:szCs w:val="20"/>
      <w:lang w:val="fr-FR" w:eastAsia="fr-BE"/>
    </w:rPr>
  </w:style>
  <w:style w:type="table" w:styleId="Grilledutableau">
    <w:name w:val="Table Grid"/>
    <w:basedOn w:val="TableauNormal"/>
    <w:uiPriority w:val="39"/>
    <w:rsid w:val="0045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52922"/>
    <w:rPr>
      <w:sz w:val="20"/>
      <w:szCs w:val="20"/>
    </w:rPr>
  </w:style>
  <w:style w:type="character" w:customStyle="1" w:styleId="NotedebasdepageCar">
    <w:name w:val="Note de bas de page Car"/>
    <w:basedOn w:val="Policepardfaut"/>
    <w:link w:val="Notedebasdepage"/>
    <w:uiPriority w:val="99"/>
    <w:semiHidden/>
    <w:rsid w:val="00452922"/>
    <w:rPr>
      <w:sz w:val="20"/>
      <w:szCs w:val="20"/>
      <w:lang w:val="fr-FR"/>
    </w:rPr>
  </w:style>
  <w:style w:type="character" w:styleId="Appelnotedebasdep">
    <w:name w:val="footnote reference"/>
    <w:basedOn w:val="Policepardfaut"/>
    <w:uiPriority w:val="99"/>
    <w:semiHidden/>
    <w:unhideWhenUsed/>
    <w:rsid w:val="00452922"/>
    <w:rPr>
      <w:vertAlign w:val="superscript"/>
    </w:rPr>
  </w:style>
  <w:style w:type="paragraph" w:styleId="En-tte">
    <w:name w:val="header"/>
    <w:basedOn w:val="Normal"/>
    <w:link w:val="En-tteCar"/>
    <w:uiPriority w:val="99"/>
    <w:unhideWhenUsed/>
    <w:rsid w:val="00C43D88"/>
    <w:pPr>
      <w:tabs>
        <w:tab w:val="center" w:pos="4536"/>
        <w:tab w:val="right" w:pos="9072"/>
      </w:tabs>
    </w:pPr>
  </w:style>
  <w:style w:type="character" w:customStyle="1" w:styleId="En-tteCar">
    <w:name w:val="En-tête Car"/>
    <w:basedOn w:val="Policepardfaut"/>
    <w:link w:val="En-tte"/>
    <w:uiPriority w:val="99"/>
    <w:rsid w:val="00C43D88"/>
    <w:rPr>
      <w:lang w:val="fr-FR"/>
    </w:rPr>
  </w:style>
  <w:style w:type="paragraph" w:styleId="Pieddepage">
    <w:name w:val="footer"/>
    <w:basedOn w:val="Normal"/>
    <w:link w:val="PieddepageCar"/>
    <w:uiPriority w:val="99"/>
    <w:unhideWhenUsed/>
    <w:rsid w:val="00C43D88"/>
    <w:pPr>
      <w:tabs>
        <w:tab w:val="center" w:pos="4536"/>
        <w:tab w:val="right" w:pos="9072"/>
      </w:tabs>
    </w:pPr>
  </w:style>
  <w:style w:type="character" w:customStyle="1" w:styleId="PieddepageCar">
    <w:name w:val="Pied de page Car"/>
    <w:basedOn w:val="Policepardfaut"/>
    <w:link w:val="Pieddepage"/>
    <w:uiPriority w:val="99"/>
    <w:rsid w:val="00C43D88"/>
    <w:rPr>
      <w:lang w:val="fr-FR"/>
    </w:rPr>
  </w:style>
  <w:style w:type="character" w:styleId="Numrodepage">
    <w:name w:val="page number"/>
    <w:basedOn w:val="Policepardfaut"/>
    <w:uiPriority w:val="99"/>
    <w:semiHidden/>
    <w:unhideWhenUsed/>
    <w:rsid w:val="00C4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2286</Words>
  <Characters>12575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Corbeel</dc:creator>
  <cp:keywords/>
  <dc:description/>
  <cp:lastModifiedBy>Thierry Corbeel</cp:lastModifiedBy>
  <cp:revision>1</cp:revision>
  <dcterms:created xsi:type="dcterms:W3CDTF">2021-03-02T09:15:00Z</dcterms:created>
  <dcterms:modified xsi:type="dcterms:W3CDTF">2021-03-02T09:51:00Z</dcterms:modified>
</cp:coreProperties>
</file>